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6098" w:rsidRPr="003307B3" w:rsidRDefault="007E6640" w:rsidP="004A09B4">
      <w:pPr>
        <w:spacing w:after="0" w:line="240" w:lineRule="auto"/>
        <w:ind w:firstLine="720"/>
        <w:jc w:val="center"/>
        <w:rPr>
          <w:rFonts w:ascii="Times New Roman" w:eastAsia="Times New Roman" w:hAnsi="Times New Roman" w:cs="Times New Roman"/>
          <w:b/>
          <w:sz w:val="21"/>
          <w:szCs w:val="21"/>
        </w:rPr>
      </w:pPr>
      <w:r>
        <w:rPr>
          <w:rFonts w:ascii="Times New Roman" w:eastAsia="Times New Roman" w:hAnsi="Times New Roman" w:cs="Times New Roman"/>
          <w:b/>
          <w:sz w:val="21"/>
          <w:szCs w:val="21"/>
        </w:rPr>
        <w:t>Smith</w:t>
      </w:r>
      <w:r w:rsidR="00FB6098" w:rsidRPr="003307B3">
        <w:rPr>
          <w:rFonts w:ascii="Times New Roman" w:eastAsia="Times New Roman" w:hAnsi="Times New Roman" w:cs="Times New Roman"/>
          <w:b/>
          <w:sz w:val="21"/>
          <w:szCs w:val="21"/>
        </w:rPr>
        <w:t xml:space="preserve"> Research Memo</w:t>
      </w:r>
      <w:r>
        <w:rPr>
          <w:rFonts w:ascii="Times New Roman" w:eastAsia="Times New Roman" w:hAnsi="Times New Roman" w:cs="Times New Roman"/>
          <w:b/>
          <w:sz w:val="21"/>
          <w:szCs w:val="21"/>
        </w:rPr>
        <w:t xml:space="preserve"> </w:t>
      </w:r>
    </w:p>
    <w:p w:rsidR="00FB6098" w:rsidRPr="003307B3" w:rsidRDefault="00FB6098" w:rsidP="00C2066F">
      <w:pPr>
        <w:spacing w:after="0" w:line="240" w:lineRule="auto"/>
        <w:rPr>
          <w:rFonts w:ascii="Times New Roman" w:eastAsia="Times New Roman" w:hAnsi="Times New Roman" w:cs="Times New Roman"/>
          <w:sz w:val="21"/>
          <w:szCs w:val="21"/>
        </w:rPr>
      </w:pPr>
      <w:r w:rsidRPr="003307B3">
        <w:rPr>
          <w:rFonts w:ascii="Times New Roman" w:eastAsia="Times New Roman" w:hAnsi="Times New Roman" w:cs="Times New Roman"/>
          <w:b/>
          <w:sz w:val="21"/>
          <w:szCs w:val="21"/>
        </w:rPr>
        <w:t xml:space="preserve">To: </w:t>
      </w:r>
      <w:r w:rsidRPr="003307B3">
        <w:rPr>
          <w:rFonts w:ascii="Times New Roman" w:eastAsia="Times New Roman" w:hAnsi="Times New Roman" w:cs="Times New Roman"/>
          <w:b/>
          <w:sz w:val="21"/>
          <w:szCs w:val="21"/>
        </w:rPr>
        <w:tab/>
      </w:r>
      <w:r w:rsidR="007E6640">
        <w:rPr>
          <w:rFonts w:ascii="Times New Roman" w:eastAsia="Times New Roman" w:hAnsi="Times New Roman" w:cs="Times New Roman"/>
          <w:sz w:val="21"/>
          <w:szCs w:val="21"/>
        </w:rPr>
        <w:t>Client</w:t>
      </w:r>
    </w:p>
    <w:p w:rsidR="00FB6098" w:rsidRPr="003307B3" w:rsidRDefault="00FB6098" w:rsidP="00C2066F">
      <w:pPr>
        <w:spacing w:after="0" w:line="240" w:lineRule="auto"/>
        <w:rPr>
          <w:rFonts w:ascii="Times New Roman" w:eastAsia="Times New Roman" w:hAnsi="Times New Roman" w:cs="Times New Roman"/>
          <w:sz w:val="21"/>
          <w:szCs w:val="21"/>
        </w:rPr>
      </w:pPr>
      <w:r w:rsidRPr="003307B3">
        <w:rPr>
          <w:rFonts w:ascii="Times New Roman" w:eastAsia="Times New Roman" w:hAnsi="Times New Roman" w:cs="Times New Roman"/>
          <w:b/>
          <w:sz w:val="21"/>
          <w:szCs w:val="21"/>
        </w:rPr>
        <w:t>From:</w:t>
      </w:r>
      <w:r w:rsidRPr="003307B3">
        <w:rPr>
          <w:rFonts w:ascii="Times New Roman" w:eastAsia="Times New Roman" w:hAnsi="Times New Roman" w:cs="Times New Roman"/>
          <w:b/>
          <w:sz w:val="21"/>
          <w:szCs w:val="21"/>
        </w:rPr>
        <w:tab/>
      </w:r>
      <w:r w:rsidR="003307B3">
        <w:rPr>
          <w:rFonts w:ascii="Times New Roman" w:eastAsia="Times New Roman" w:hAnsi="Times New Roman" w:cs="Times New Roman"/>
          <w:sz w:val="21"/>
          <w:szCs w:val="21"/>
        </w:rPr>
        <w:t>Charles Isaacs</w:t>
      </w:r>
    </w:p>
    <w:p w:rsidR="003A66E2" w:rsidRDefault="00FB6098" w:rsidP="003307B3">
      <w:pPr>
        <w:spacing w:after="0" w:line="240" w:lineRule="auto"/>
        <w:rPr>
          <w:rFonts w:ascii="Times New Roman" w:eastAsia="Times New Roman" w:hAnsi="Times New Roman" w:cs="Times New Roman"/>
          <w:sz w:val="21"/>
          <w:szCs w:val="21"/>
        </w:rPr>
      </w:pPr>
      <w:r w:rsidRPr="003307B3">
        <w:rPr>
          <w:rFonts w:ascii="Times New Roman" w:eastAsia="Times New Roman" w:hAnsi="Times New Roman" w:cs="Times New Roman"/>
          <w:b/>
          <w:sz w:val="21"/>
          <w:szCs w:val="21"/>
        </w:rPr>
        <w:t>Re:</w:t>
      </w:r>
      <w:r w:rsidRPr="003307B3">
        <w:rPr>
          <w:rFonts w:ascii="Times New Roman" w:eastAsia="Times New Roman" w:hAnsi="Times New Roman" w:cs="Times New Roman"/>
          <w:b/>
          <w:sz w:val="21"/>
          <w:szCs w:val="21"/>
        </w:rPr>
        <w:tab/>
      </w:r>
      <w:r w:rsidR="00AA7614" w:rsidRPr="003307B3">
        <w:rPr>
          <w:rFonts w:ascii="Times New Roman" w:eastAsia="Times New Roman" w:hAnsi="Times New Roman" w:cs="Times New Roman"/>
          <w:sz w:val="21"/>
          <w:szCs w:val="21"/>
        </w:rPr>
        <w:t>Mary Smith’s impending loss of companionship, and suppression of evidence actions</w:t>
      </w:r>
    </w:p>
    <w:p w:rsidR="003307B3" w:rsidRDefault="003307B3" w:rsidP="003307B3">
      <w:pPr>
        <w:spacing w:after="0" w:line="240" w:lineRule="auto"/>
        <w:rPr>
          <w:rFonts w:ascii="Times New Roman" w:eastAsia="Times New Roman" w:hAnsi="Times New Roman" w:cs="Times New Roman"/>
          <w:sz w:val="21"/>
          <w:szCs w:val="21"/>
        </w:rPr>
      </w:pPr>
    </w:p>
    <w:p w:rsidR="00FB6098" w:rsidRPr="003307B3" w:rsidRDefault="00FB6098" w:rsidP="00C2066F">
      <w:pPr>
        <w:spacing w:after="0" w:line="480" w:lineRule="auto"/>
        <w:rPr>
          <w:rFonts w:cstheme="minorHAnsi"/>
          <w:b/>
          <w:sz w:val="21"/>
          <w:szCs w:val="21"/>
        </w:rPr>
      </w:pPr>
      <w:r w:rsidRPr="003307B3">
        <w:rPr>
          <w:rFonts w:cstheme="minorHAnsi"/>
          <w:b/>
          <w:sz w:val="21"/>
          <w:szCs w:val="21"/>
        </w:rPr>
        <w:t>I. Issues:</w:t>
      </w:r>
    </w:p>
    <w:p w:rsidR="00FB6098" w:rsidRPr="003307B3" w:rsidRDefault="00FB6098" w:rsidP="00C2066F">
      <w:pPr>
        <w:spacing w:after="0" w:line="480" w:lineRule="auto"/>
        <w:rPr>
          <w:rFonts w:cstheme="minorHAnsi"/>
          <w:sz w:val="21"/>
          <w:szCs w:val="21"/>
        </w:rPr>
      </w:pPr>
      <w:r w:rsidRPr="003307B3">
        <w:rPr>
          <w:rFonts w:cstheme="minorHAnsi"/>
          <w:b/>
          <w:sz w:val="21"/>
          <w:szCs w:val="21"/>
        </w:rPr>
        <w:t>A.</w:t>
      </w:r>
      <w:r w:rsidR="00694D61" w:rsidRPr="003307B3">
        <w:rPr>
          <w:rFonts w:cstheme="minorHAnsi"/>
          <w:b/>
          <w:sz w:val="21"/>
          <w:szCs w:val="21"/>
        </w:rPr>
        <w:tab/>
      </w:r>
      <w:r w:rsidR="00610F6C" w:rsidRPr="003307B3">
        <w:rPr>
          <w:rFonts w:cstheme="minorHAnsi"/>
          <w:sz w:val="21"/>
          <w:szCs w:val="21"/>
        </w:rPr>
        <w:t xml:space="preserve"> </w:t>
      </w:r>
      <w:r w:rsidR="00D06056" w:rsidRPr="003307B3">
        <w:rPr>
          <w:rFonts w:cstheme="minorHAnsi"/>
          <w:sz w:val="21"/>
          <w:szCs w:val="21"/>
        </w:rPr>
        <w:t xml:space="preserve">Does Mary </w:t>
      </w:r>
      <w:r w:rsidR="00953EB2" w:rsidRPr="003307B3">
        <w:rPr>
          <w:rFonts w:cstheme="minorHAnsi"/>
          <w:sz w:val="21"/>
          <w:szCs w:val="21"/>
        </w:rPr>
        <w:t xml:space="preserve">Smith </w:t>
      </w:r>
      <w:r w:rsidR="00D06056" w:rsidRPr="003307B3">
        <w:rPr>
          <w:rFonts w:cstheme="minorHAnsi"/>
          <w:sz w:val="21"/>
          <w:szCs w:val="21"/>
        </w:rPr>
        <w:t>have a cause of action under</w:t>
      </w:r>
      <w:r w:rsidR="00832C08" w:rsidRPr="003307B3">
        <w:rPr>
          <w:rFonts w:cstheme="minorHAnsi"/>
          <w:sz w:val="21"/>
          <w:szCs w:val="21"/>
        </w:rPr>
        <w:t xml:space="preserve"> </w:t>
      </w:r>
      <w:r w:rsidR="00FC1223" w:rsidRPr="003307B3">
        <w:rPr>
          <w:rFonts w:cstheme="minorHAnsi"/>
          <w:sz w:val="21"/>
          <w:szCs w:val="21"/>
        </w:rPr>
        <w:t>42 U.S.C.</w:t>
      </w:r>
      <w:r w:rsidR="00C2066F" w:rsidRPr="003307B3">
        <w:rPr>
          <w:rFonts w:cstheme="minorHAnsi"/>
          <w:sz w:val="21"/>
          <w:szCs w:val="21"/>
        </w:rPr>
        <w:t xml:space="preserve"> §</w:t>
      </w:r>
      <w:r w:rsidR="00FC1223" w:rsidRPr="003307B3">
        <w:rPr>
          <w:rFonts w:cstheme="minorHAnsi"/>
          <w:sz w:val="21"/>
          <w:szCs w:val="21"/>
        </w:rPr>
        <w:t xml:space="preserve"> </w:t>
      </w:r>
      <w:r w:rsidR="00832C08" w:rsidRPr="003307B3">
        <w:rPr>
          <w:rFonts w:cstheme="minorHAnsi"/>
          <w:sz w:val="21"/>
          <w:szCs w:val="21"/>
        </w:rPr>
        <w:t xml:space="preserve">1983 for the loss of companionship from Bess </w:t>
      </w:r>
      <w:r w:rsidR="00953EB2" w:rsidRPr="003307B3">
        <w:rPr>
          <w:rFonts w:cstheme="minorHAnsi"/>
          <w:sz w:val="21"/>
          <w:szCs w:val="21"/>
        </w:rPr>
        <w:t xml:space="preserve">Smith </w:t>
      </w:r>
      <w:r w:rsidR="00832C08" w:rsidRPr="003307B3">
        <w:rPr>
          <w:rFonts w:cstheme="minorHAnsi"/>
          <w:sz w:val="21"/>
          <w:szCs w:val="21"/>
        </w:rPr>
        <w:t>in her</w:t>
      </w:r>
      <w:r w:rsidR="00C2066F" w:rsidRPr="003307B3">
        <w:rPr>
          <w:rFonts w:cstheme="minorHAnsi"/>
          <w:sz w:val="21"/>
          <w:szCs w:val="21"/>
        </w:rPr>
        <w:t xml:space="preserve"> last months, and in the future;</w:t>
      </w:r>
      <w:r w:rsidR="00832C08" w:rsidRPr="003307B3">
        <w:rPr>
          <w:rFonts w:cstheme="minorHAnsi"/>
          <w:sz w:val="21"/>
          <w:szCs w:val="21"/>
        </w:rPr>
        <w:t xml:space="preserve"> is she considered family for the legal means of recovery?</w:t>
      </w:r>
    </w:p>
    <w:p w:rsidR="00FB6098" w:rsidRPr="003307B3" w:rsidRDefault="00FB6098" w:rsidP="00C2066F">
      <w:pPr>
        <w:spacing w:after="0" w:line="480" w:lineRule="auto"/>
        <w:rPr>
          <w:rFonts w:cstheme="minorHAnsi"/>
          <w:sz w:val="21"/>
          <w:szCs w:val="21"/>
        </w:rPr>
      </w:pPr>
      <w:r w:rsidRPr="003307B3">
        <w:rPr>
          <w:rFonts w:cstheme="minorHAnsi"/>
          <w:b/>
          <w:sz w:val="21"/>
          <w:szCs w:val="21"/>
        </w:rPr>
        <w:t>B.</w:t>
      </w:r>
      <w:r w:rsidR="00694D61" w:rsidRPr="003307B3">
        <w:rPr>
          <w:rFonts w:cstheme="minorHAnsi"/>
          <w:b/>
          <w:sz w:val="21"/>
          <w:szCs w:val="21"/>
        </w:rPr>
        <w:tab/>
      </w:r>
      <w:r w:rsidR="00694D61" w:rsidRPr="003307B3">
        <w:rPr>
          <w:rFonts w:cstheme="minorHAnsi"/>
          <w:sz w:val="21"/>
          <w:szCs w:val="21"/>
        </w:rPr>
        <w:t xml:space="preserve"> </w:t>
      </w:r>
      <w:r w:rsidR="00832C08" w:rsidRPr="003307B3">
        <w:rPr>
          <w:rFonts w:cstheme="minorHAnsi"/>
          <w:sz w:val="21"/>
          <w:szCs w:val="21"/>
        </w:rPr>
        <w:t>Was</w:t>
      </w:r>
      <w:r w:rsidR="00D06056" w:rsidRPr="003307B3">
        <w:rPr>
          <w:rFonts w:cstheme="minorHAnsi"/>
          <w:sz w:val="21"/>
          <w:szCs w:val="21"/>
        </w:rPr>
        <w:t xml:space="preserve"> the use of a GPS device to track</w:t>
      </w:r>
      <w:r w:rsidR="00953EB2" w:rsidRPr="003307B3">
        <w:rPr>
          <w:rFonts w:cstheme="minorHAnsi"/>
          <w:sz w:val="21"/>
          <w:szCs w:val="21"/>
        </w:rPr>
        <w:t xml:space="preserve"> Mary Smith’s car for several weeks</w:t>
      </w:r>
      <w:r w:rsidR="00D06056" w:rsidRPr="003307B3">
        <w:rPr>
          <w:rFonts w:cstheme="minorHAnsi"/>
          <w:sz w:val="21"/>
          <w:szCs w:val="21"/>
        </w:rPr>
        <w:t xml:space="preserve"> a search under the 4</w:t>
      </w:r>
      <w:r w:rsidR="00D06056" w:rsidRPr="003307B3">
        <w:rPr>
          <w:rFonts w:cstheme="minorHAnsi"/>
          <w:sz w:val="21"/>
          <w:szCs w:val="21"/>
          <w:vertAlign w:val="superscript"/>
        </w:rPr>
        <w:t>th</w:t>
      </w:r>
      <w:r w:rsidR="00D06056" w:rsidRPr="003307B3">
        <w:rPr>
          <w:rFonts w:cstheme="minorHAnsi"/>
          <w:sz w:val="21"/>
          <w:szCs w:val="21"/>
        </w:rPr>
        <w:t xml:space="preserve"> Amendment so that she can</w:t>
      </w:r>
      <w:r w:rsidR="00C2066F" w:rsidRPr="003307B3">
        <w:rPr>
          <w:rFonts w:cstheme="minorHAnsi"/>
          <w:sz w:val="21"/>
          <w:szCs w:val="21"/>
        </w:rPr>
        <w:t xml:space="preserve"> have the evidence suppressed</w:t>
      </w:r>
      <w:r w:rsidR="00D06056" w:rsidRPr="003307B3">
        <w:rPr>
          <w:rFonts w:cstheme="minorHAnsi"/>
          <w:sz w:val="21"/>
          <w:szCs w:val="21"/>
        </w:rPr>
        <w:t>?</w:t>
      </w:r>
    </w:p>
    <w:p w:rsidR="00FB6098" w:rsidRPr="003307B3" w:rsidRDefault="00FB6098" w:rsidP="00C2066F">
      <w:pPr>
        <w:spacing w:after="0" w:line="480" w:lineRule="auto"/>
        <w:rPr>
          <w:rFonts w:cstheme="minorHAnsi"/>
          <w:b/>
          <w:sz w:val="21"/>
          <w:szCs w:val="21"/>
        </w:rPr>
      </w:pPr>
      <w:r w:rsidRPr="003307B3">
        <w:rPr>
          <w:rFonts w:cstheme="minorHAnsi"/>
          <w:b/>
          <w:sz w:val="21"/>
          <w:szCs w:val="21"/>
        </w:rPr>
        <w:t>II. Brief Answers:</w:t>
      </w:r>
    </w:p>
    <w:p w:rsidR="00FB6098" w:rsidRPr="003307B3" w:rsidRDefault="00FB6098" w:rsidP="00C2066F">
      <w:pPr>
        <w:spacing w:after="0" w:line="480" w:lineRule="auto"/>
        <w:rPr>
          <w:rFonts w:cstheme="minorHAnsi"/>
          <w:sz w:val="21"/>
          <w:szCs w:val="21"/>
        </w:rPr>
      </w:pPr>
      <w:r w:rsidRPr="003307B3">
        <w:rPr>
          <w:rFonts w:cstheme="minorHAnsi"/>
          <w:b/>
          <w:sz w:val="21"/>
          <w:szCs w:val="21"/>
        </w:rPr>
        <w:t>A.</w:t>
      </w:r>
      <w:r w:rsidR="00832C08" w:rsidRPr="003307B3">
        <w:rPr>
          <w:rFonts w:cstheme="minorHAnsi"/>
          <w:sz w:val="21"/>
          <w:szCs w:val="21"/>
        </w:rPr>
        <w:tab/>
      </w:r>
      <w:r w:rsidR="00953EB2" w:rsidRPr="003307B3">
        <w:rPr>
          <w:rFonts w:cstheme="minorHAnsi"/>
          <w:sz w:val="21"/>
          <w:szCs w:val="21"/>
        </w:rPr>
        <w:t xml:space="preserve">Probably </w:t>
      </w:r>
      <w:r w:rsidR="00D3438E" w:rsidRPr="003307B3">
        <w:rPr>
          <w:rFonts w:cstheme="minorHAnsi"/>
          <w:sz w:val="21"/>
          <w:szCs w:val="21"/>
        </w:rPr>
        <w:t xml:space="preserve">yes. A state actor who actively causes a person to be deprived of a protected liberty interest may be liable for resulting harm. </w:t>
      </w:r>
      <w:r w:rsidR="00C2066F" w:rsidRPr="003307B3">
        <w:rPr>
          <w:rFonts w:cstheme="minorHAnsi"/>
          <w:sz w:val="21"/>
          <w:szCs w:val="21"/>
        </w:rPr>
        <w:t>Ronald</w:t>
      </w:r>
      <w:r w:rsidR="00953EB2" w:rsidRPr="003307B3">
        <w:rPr>
          <w:rFonts w:cstheme="minorHAnsi"/>
          <w:sz w:val="21"/>
          <w:szCs w:val="21"/>
        </w:rPr>
        <w:t xml:space="preserve"> Lowe</w:t>
      </w:r>
      <w:r w:rsidR="00C2066F" w:rsidRPr="003307B3">
        <w:rPr>
          <w:rFonts w:cstheme="minorHAnsi"/>
          <w:sz w:val="21"/>
          <w:szCs w:val="21"/>
        </w:rPr>
        <w:t xml:space="preserve">, </w:t>
      </w:r>
      <w:r w:rsidR="00FC1223" w:rsidRPr="003307B3">
        <w:rPr>
          <w:rFonts w:cstheme="minorHAnsi"/>
          <w:sz w:val="21"/>
          <w:szCs w:val="21"/>
        </w:rPr>
        <w:t xml:space="preserve">acting in his position at a state run health facility, will likely be </w:t>
      </w:r>
      <w:r w:rsidR="00C2066F" w:rsidRPr="003307B3">
        <w:rPr>
          <w:rFonts w:cstheme="minorHAnsi"/>
          <w:sz w:val="21"/>
          <w:szCs w:val="21"/>
        </w:rPr>
        <w:t>seen as</w:t>
      </w:r>
      <w:r w:rsidR="00B25801" w:rsidRPr="003307B3">
        <w:rPr>
          <w:rFonts w:cstheme="minorHAnsi"/>
          <w:sz w:val="21"/>
          <w:szCs w:val="21"/>
        </w:rPr>
        <w:t xml:space="preserve"> falling under §</w:t>
      </w:r>
      <w:r w:rsidR="00953EB2" w:rsidRPr="003307B3">
        <w:rPr>
          <w:rFonts w:cstheme="minorHAnsi"/>
          <w:sz w:val="21"/>
          <w:szCs w:val="21"/>
        </w:rPr>
        <w:t xml:space="preserve"> </w:t>
      </w:r>
      <w:r w:rsidR="00B25801" w:rsidRPr="003307B3">
        <w:rPr>
          <w:rFonts w:cstheme="minorHAnsi"/>
          <w:sz w:val="21"/>
          <w:szCs w:val="21"/>
        </w:rPr>
        <w:t>1983 allowing f</w:t>
      </w:r>
      <w:r w:rsidR="00C2066F" w:rsidRPr="003307B3">
        <w:rPr>
          <w:rFonts w:cstheme="minorHAnsi"/>
          <w:sz w:val="21"/>
          <w:szCs w:val="21"/>
        </w:rPr>
        <w:t xml:space="preserve">or suit of the </w:t>
      </w:r>
      <w:r w:rsidR="00ED2DFC" w:rsidRPr="003307B3">
        <w:rPr>
          <w:rFonts w:cstheme="minorHAnsi"/>
          <w:sz w:val="21"/>
          <w:szCs w:val="21"/>
        </w:rPr>
        <w:t>State</w:t>
      </w:r>
      <w:r w:rsidR="00C2066F" w:rsidRPr="003307B3">
        <w:rPr>
          <w:rFonts w:cstheme="minorHAnsi"/>
          <w:sz w:val="21"/>
          <w:szCs w:val="21"/>
        </w:rPr>
        <w:t xml:space="preserve"> of Euphoria</w:t>
      </w:r>
      <w:r w:rsidR="00B25801" w:rsidRPr="003307B3">
        <w:rPr>
          <w:rFonts w:cstheme="minorHAnsi"/>
          <w:sz w:val="21"/>
          <w:szCs w:val="21"/>
        </w:rPr>
        <w:t>. Mary’s background with Bess, both the nature of their familial relationship, and the level of dependency between the two, will likely allow Mary to recover for loss of companionship from a pseudo-parent such as Bess.</w:t>
      </w:r>
    </w:p>
    <w:p w:rsidR="00FB6098" w:rsidRPr="003307B3" w:rsidRDefault="00FB6098" w:rsidP="00C2066F">
      <w:pPr>
        <w:spacing w:after="0" w:line="480" w:lineRule="auto"/>
        <w:rPr>
          <w:rFonts w:cstheme="minorHAnsi"/>
          <w:sz w:val="21"/>
          <w:szCs w:val="21"/>
        </w:rPr>
      </w:pPr>
      <w:r w:rsidRPr="003307B3">
        <w:rPr>
          <w:rFonts w:cstheme="minorHAnsi"/>
          <w:b/>
          <w:sz w:val="21"/>
          <w:szCs w:val="21"/>
        </w:rPr>
        <w:t>B.</w:t>
      </w:r>
      <w:r w:rsidR="00832C08" w:rsidRPr="003307B3">
        <w:rPr>
          <w:rFonts w:cstheme="minorHAnsi"/>
          <w:sz w:val="21"/>
          <w:szCs w:val="21"/>
        </w:rPr>
        <w:t xml:space="preserve"> </w:t>
      </w:r>
      <w:r w:rsidR="00832C08" w:rsidRPr="003307B3">
        <w:rPr>
          <w:rFonts w:cstheme="minorHAnsi"/>
          <w:sz w:val="21"/>
          <w:szCs w:val="21"/>
        </w:rPr>
        <w:tab/>
        <w:t xml:space="preserve">Probably yes. </w:t>
      </w:r>
      <w:r w:rsidR="00953EB2" w:rsidRPr="003307B3">
        <w:rPr>
          <w:rFonts w:cstheme="minorHAnsi"/>
          <w:sz w:val="21"/>
          <w:szCs w:val="21"/>
        </w:rPr>
        <w:t xml:space="preserve">A search occurs any time a person’s reasonable privacy interest is violated by police, however the use of GPS tracking devices are not, per se, considered a search. </w:t>
      </w:r>
      <w:r w:rsidR="00832C08" w:rsidRPr="003307B3">
        <w:rPr>
          <w:rFonts w:cstheme="minorHAnsi"/>
          <w:sz w:val="21"/>
          <w:szCs w:val="21"/>
        </w:rPr>
        <w:t>The continuous, often unrelated, tracking and recording of data</w:t>
      </w:r>
      <w:r w:rsidR="003F3B7C" w:rsidRPr="003307B3">
        <w:rPr>
          <w:rFonts w:cstheme="minorHAnsi"/>
          <w:sz w:val="21"/>
          <w:szCs w:val="21"/>
        </w:rPr>
        <w:t xml:space="preserve"> by the Bliss poli</w:t>
      </w:r>
      <w:r w:rsidR="00C2066F" w:rsidRPr="003307B3">
        <w:rPr>
          <w:rFonts w:cstheme="minorHAnsi"/>
          <w:sz w:val="21"/>
          <w:szCs w:val="21"/>
        </w:rPr>
        <w:t>ce using the GPS device violated</w:t>
      </w:r>
      <w:r w:rsidR="003F3B7C" w:rsidRPr="003307B3">
        <w:rPr>
          <w:rFonts w:cstheme="minorHAnsi"/>
          <w:sz w:val="21"/>
          <w:szCs w:val="21"/>
        </w:rPr>
        <w:t xml:space="preserve"> both Bliss police policy, and federal standards for the </w:t>
      </w:r>
      <w:r w:rsidR="00C2066F" w:rsidRPr="003307B3">
        <w:rPr>
          <w:rFonts w:cstheme="minorHAnsi"/>
          <w:sz w:val="21"/>
          <w:szCs w:val="21"/>
        </w:rPr>
        <w:t xml:space="preserve">unreasonable </w:t>
      </w:r>
      <w:r w:rsidR="003F3B7C" w:rsidRPr="003307B3">
        <w:rPr>
          <w:rFonts w:cstheme="minorHAnsi"/>
          <w:sz w:val="21"/>
          <w:szCs w:val="21"/>
        </w:rPr>
        <w:t>use of a device without procurement of a warrant. Although a car h</w:t>
      </w:r>
      <w:r w:rsidR="00C2066F" w:rsidRPr="003307B3">
        <w:rPr>
          <w:rFonts w:cstheme="minorHAnsi"/>
          <w:sz w:val="21"/>
          <w:szCs w:val="21"/>
        </w:rPr>
        <w:t>as no expectation of privacy, it</w:t>
      </w:r>
      <w:r w:rsidR="003F3B7C" w:rsidRPr="003307B3">
        <w:rPr>
          <w:rFonts w:cstheme="minorHAnsi"/>
          <w:sz w:val="21"/>
          <w:szCs w:val="21"/>
        </w:rPr>
        <w:t xml:space="preserve"> can be assumed that much of the data taken by the device granted a private, personal view into Mary’s life beyond the investigation.</w:t>
      </w:r>
      <w:r w:rsidR="00610F6C" w:rsidRPr="003307B3">
        <w:rPr>
          <w:rFonts w:cstheme="minorHAnsi"/>
          <w:b/>
          <w:sz w:val="21"/>
          <w:szCs w:val="21"/>
        </w:rPr>
        <w:tab/>
      </w:r>
    </w:p>
    <w:p w:rsidR="00FB6098" w:rsidRPr="003307B3" w:rsidRDefault="00FB6098" w:rsidP="00C2066F">
      <w:pPr>
        <w:spacing w:after="0" w:line="480" w:lineRule="auto"/>
        <w:rPr>
          <w:rFonts w:cstheme="minorHAnsi"/>
          <w:b/>
          <w:sz w:val="21"/>
          <w:szCs w:val="21"/>
        </w:rPr>
      </w:pPr>
      <w:r w:rsidRPr="003307B3">
        <w:rPr>
          <w:rFonts w:cstheme="minorHAnsi"/>
          <w:b/>
          <w:sz w:val="21"/>
          <w:szCs w:val="21"/>
        </w:rPr>
        <w:t>III. Facts:</w:t>
      </w:r>
    </w:p>
    <w:p w:rsidR="00FD49FC" w:rsidRPr="003307B3" w:rsidRDefault="00FD49FC" w:rsidP="00C2066F">
      <w:pPr>
        <w:spacing w:after="0" w:line="480" w:lineRule="auto"/>
        <w:rPr>
          <w:rFonts w:cstheme="minorHAnsi"/>
          <w:sz w:val="21"/>
          <w:szCs w:val="21"/>
        </w:rPr>
      </w:pPr>
      <w:r w:rsidRPr="003307B3">
        <w:rPr>
          <w:rFonts w:cstheme="minorHAnsi"/>
          <w:sz w:val="21"/>
          <w:szCs w:val="21"/>
        </w:rPr>
        <w:tab/>
        <w:t xml:space="preserve">From a young age, Mary lived her mother Jennifer, and her aunt (Jennifer’s sister) Bess in Euphoria. For a number of years the three of them lived together as an extended family, with Mary depending on both women for </w:t>
      </w:r>
      <w:r w:rsidR="00C7397D" w:rsidRPr="003307B3">
        <w:rPr>
          <w:rFonts w:cstheme="minorHAnsi"/>
          <w:sz w:val="21"/>
          <w:szCs w:val="21"/>
        </w:rPr>
        <w:t xml:space="preserve">financial, upkeep, and parental support. Mary eventually grew up and became an attorney, but continued living with the two women in Bliss through the time when she and Jennifer decided to move Bess to Happy Acres care facility due to her Alzheimer’s disease. While Bess underwent treatment at Happy Acres, </w:t>
      </w:r>
      <w:r w:rsidR="00C7397D" w:rsidRPr="003307B3">
        <w:rPr>
          <w:rFonts w:cstheme="minorHAnsi"/>
          <w:sz w:val="21"/>
          <w:szCs w:val="21"/>
        </w:rPr>
        <w:lastRenderedPageBreak/>
        <w:t xml:space="preserve">Jennifer and Mary continued to visit frequently. During these visits Mary met Ronald, one of the nurses employed by the state-run facility. </w:t>
      </w:r>
    </w:p>
    <w:p w:rsidR="00C7397D" w:rsidRPr="003307B3" w:rsidRDefault="00C7397D" w:rsidP="00C2066F">
      <w:pPr>
        <w:spacing w:after="0" w:line="480" w:lineRule="auto"/>
        <w:rPr>
          <w:rFonts w:cstheme="minorHAnsi"/>
          <w:sz w:val="21"/>
          <w:szCs w:val="21"/>
        </w:rPr>
      </w:pPr>
      <w:r w:rsidRPr="003307B3">
        <w:rPr>
          <w:rFonts w:cstheme="minorHAnsi"/>
          <w:sz w:val="21"/>
          <w:szCs w:val="21"/>
        </w:rPr>
        <w:tab/>
        <w:t>Ronald and Mary began seeing each other socially, and continued to do so for several months. Over the course of this time Ronald, on several occasions, had asked Mary to run errands for him. Some of these errands included dropping off unmarked packages in exchange for unmarked envelopes.</w:t>
      </w:r>
      <w:r w:rsidR="0054337A" w:rsidRPr="003307B3">
        <w:rPr>
          <w:rFonts w:cstheme="minorHAnsi"/>
          <w:sz w:val="21"/>
          <w:szCs w:val="21"/>
        </w:rPr>
        <w:t xml:space="preserve"> This activity continued until Mary began to grow suspicious of Ronald’s dealings, and broke off the relationship.</w:t>
      </w:r>
      <w:r w:rsidRPr="003307B3">
        <w:rPr>
          <w:rFonts w:cstheme="minorHAnsi"/>
          <w:sz w:val="21"/>
          <w:szCs w:val="21"/>
        </w:rPr>
        <w:t xml:space="preserve"> During this period of errand running, the Bliss police had begun to launch an investigation into Ronald’s suspected </w:t>
      </w:r>
      <w:r w:rsidR="0054337A" w:rsidRPr="003307B3">
        <w:rPr>
          <w:rFonts w:cstheme="minorHAnsi"/>
          <w:sz w:val="21"/>
          <w:szCs w:val="21"/>
        </w:rPr>
        <w:t xml:space="preserve">ties to drug trafficking in Bliss. The investigation revealed that Ronald appeared to be stealing prescription drugs from Happy Acres, and selling them privately. After placing him under surveillance and scrutinizing his cell phone activity, the police began to suspect that Mary may also be involved in the illegal activity. To investigate further, the police attached a GPS transmitter to Mary’s car while it was parked, and used it to track her locations in real time. Using the device, they recorded her frequent trips to </w:t>
      </w:r>
      <w:proofErr w:type="gramStart"/>
      <w:r w:rsidR="0054337A" w:rsidRPr="003307B3">
        <w:rPr>
          <w:rFonts w:cstheme="minorHAnsi"/>
          <w:sz w:val="21"/>
          <w:szCs w:val="21"/>
        </w:rPr>
        <w:t>suspected</w:t>
      </w:r>
      <w:proofErr w:type="gramEnd"/>
      <w:r w:rsidR="0054337A" w:rsidRPr="003307B3">
        <w:rPr>
          <w:rFonts w:cstheme="minorHAnsi"/>
          <w:sz w:val="21"/>
          <w:szCs w:val="21"/>
        </w:rPr>
        <w:t xml:space="preserve"> drug-related locations, construing that she may be making deliveries and pick-up’s as accomplice to Ronald. </w:t>
      </w:r>
    </w:p>
    <w:p w:rsidR="0054337A" w:rsidRPr="003307B3" w:rsidRDefault="0054337A" w:rsidP="00C2066F">
      <w:pPr>
        <w:spacing w:after="0" w:line="480" w:lineRule="auto"/>
        <w:rPr>
          <w:rFonts w:cstheme="minorHAnsi"/>
          <w:sz w:val="21"/>
          <w:szCs w:val="21"/>
        </w:rPr>
      </w:pPr>
      <w:r w:rsidRPr="003307B3">
        <w:rPr>
          <w:rFonts w:cstheme="minorHAnsi"/>
          <w:sz w:val="21"/>
          <w:szCs w:val="21"/>
        </w:rPr>
        <w:tab/>
        <w:t>Due to his break-up with Mary, Ronald stopped giving Bess the treatment she needed to keep her Alzheimer’s under control. As a result, Bess began to deteriorate rapidly; losing memory function, and suffering emotionally. She was no longer able to recognize her own family members, and her condition deeply affected both Mary and Jennifer. After</w:t>
      </w:r>
      <w:r w:rsidR="00453F12" w:rsidRPr="003307B3">
        <w:rPr>
          <w:rFonts w:cstheme="minorHAnsi"/>
          <w:sz w:val="21"/>
          <w:szCs w:val="21"/>
        </w:rPr>
        <w:t xml:space="preserve"> several months in this state, Bess passed away from unrelated causes. During the time she was off of her medication, Bess was unable to function cogently, or interact with Mary in a meaningful way. </w:t>
      </w:r>
    </w:p>
    <w:p w:rsidR="00C2066F" w:rsidRPr="003307B3" w:rsidRDefault="00C2066F" w:rsidP="00C2066F">
      <w:pPr>
        <w:spacing w:after="0" w:line="480" w:lineRule="auto"/>
        <w:rPr>
          <w:rFonts w:cstheme="minorHAnsi"/>
          <w:b/>
          <w:sz w:val="21"/>
          <w:szCs w:val="21"/>
        </w:rPr>
      </w:pPr>
      <w:r w:rsidRPr="003307B3">
        <w:rPr>
          <w:rFonts w:cstheme="minorHAnsi"/>
          <w:b/>
          <w:sz w:val="21"/>
          <w:szCs w:val="21"/>
        </w:rPr>
        <w:t>IV. Discussion</w:t>
      </w:r>
    </w:p>
    <w:p w:rsidR="003F54EC" w:rsidRPr="003307B3" w:rsidRDefault="004B47EF" w:rsidP="00C2066F">
      <w:pPr>
        <w:spacing w:after="0" w:line="480" w:lineRule="auto"/>
        <w:rPr>
          <w:rFonts w:cstheme="minorHAnsi"/>
          <w:sz w:val="21"/>
          <w:szCs w:val="21"/>
        </w:rPr>
      </w:pPr>
      <w:r w:rsidRPr="003307B3">
        <w:rPr>
          <w:rFonts w:cstheme="minorHAnsi"/>
          <w:b/>
          <w:sz w:val="21"/>
          <w:szCs w:val="21"/>
        </w:rPr>
        <w:t>A.</w:t>
      </w:r>
      <w:r w:rsidRPr="003307B3">
        <w:rPr>
          <w:rFonts w:cstheme="minorHAnsi"/>
          <w:sz w:val="21"/>
          <w:szCs w:val="21"/>
        </w:rPr>
        <w:tab/>
      </w:r>
      <w:r w:rsidR="00C220A2" w:rsidRPr="003307B3">
        <w:rPr>
          <w:rFonts w:cstheme="minorHAnsi"/>
          <w:sz w:val="21"/>
          <w:szCs w:val="21"/>
        </w:rPr>
        <w:t>Under the Fourteenth</w:t>
      </w:r>
      <w:r w:rsidR="003F54EC" w:rsidRPr="003307B3">
        <w:rPr>
          <w:rFonts w:cstheme="minorHAnsi"/>
          <w:sz w:val="21"/>
          <w:szCs w:val="21"/>
        </w:rPr>
        <w:t xml:space="preserve"> </w:t>
      </w:r>
      <w:r w:rsidR="00811FCD" w:rsidRPr="003307B3">
        <w:rPr>
          <w:rFonts w:cstheme="minorHAnsi"/>
          <w:sz w:val="21"/>
          <w:szCs w:val="21"/>
        </w:rPr>
        <w:t>Amendment</w:t>
      </w:r>
      <w:r w:rsidR="003F54EC" w:rsidRPr="003307B3">
        <w:rPr>
          <w:rFonts w:cstheme="minorHAnsi"/>
          <w:sz w:val="21"/>
          <w:szCs w:val="21"/>
        </w:rPr>
        <w:t xml:space="preserve"> the </w:t>
      </w:r>
      <w:r w:rsidR="003C7240" w:rsidRPr="003307B3">
        <w:rPr>
          <w:rFonts w:cstheme="minorHAnsi"/>
          <w:sz w:val="21"/>
          <w:szCs w:val="21"/>
        </w:rPr>
        <w:t>s</w:t>
      </w:r>
      <w:r w:rsidR="00ED2DFC" w:rsidRPr="003307B3">
        <w:rPr>
          <w:rFonts w:cstheme="minorHAnsi"/>
          <w:sz w:val="21"/>
          <w:szCs w:val="21"/>
        </w:rPr>
        <w:t>tate</w:t>
      </w:r>
      <w:r w:rsidR="003C7240" w:rsidRPr="003307B3">
        <w:rPr>
          <w:rFonts w:cstheme="minorHAnsi"/>
          <w:sz w:val="21"/>
          <w:szCs w:val="21"/>
        </w:rPr>
        <w:t xml:space="preserve"> is required to give </w:t>
      </w:r>
      <w:r w:rsidR="00D06056" w:rsidRPr="003307B3">
        <w:rPr>
          <w:rFonts w:cstheme="minorHAnsi"/>
          <w:sz w:val="21"/>
          <w:szCs w:val="21"/>
        </w:rPr>
        <w:t>due p</w:t>
      </w:r>
      <w:r w:rsidR="003C7240" w:rsidRPr="003307B3">
        <w:rPr>
          <w:rFonts w:cstheme="minorHAnsi"/>
          <w:sz w:val="21"/>
          <w:szCs w:val="21"/>
        </w:rPr>
        <w:t>rocess</w:t>
      </w:r>
      <w:r w:rsidR="00C220A2" w:rsidRPr="003307B3">
        <w:rPr>
          <w:rFonts w:cstheme="minorHAnsi"/>
          <w:sz w:val="21"/>
          <w:szCs w:val="21"/>
        </w:rPr>
        <w:t xml:space="preserve"> under the law, however the Fourteenth</w:t>
      </w:r>
      <w:r w:rsidR="003F54EC" w:rsidRPr="003307B3">
        <w:rPr>
          <w:rFonts w:cstheme="minorHAnsi"/>
          <w:sz w:val="21"/>
          <w:szCs w:val="21"/>
        </w:rPr>
        <w:t xml:space="preserve"> </w:t>
      </w:r>
      <w:r w:rsidR="00811FCD" w:rsidRPr="003307B3">
        <w:rPr>
          <w:rFonts w:cstheme="minorHAnsi"/>
          <w:sz w:val="21"/>
          <w:szCs w:val="21"/>
        </w:rPr>
        <w:t>Amendment</w:t>
      </w:r>
      <w:r w:rsidR="003F54EC" w:rsidRPr="003307B3">
        <w:rPr>
          <w:rFonts w:cstheme="minorHAnsi"/>
          <w:sz w:val="21"/>
          <w:szCs w:val="21"/>
        </w:rPr>
        <w:t xml:space="preserve"> itself does not create a cause of action which may garner relief. </w:t>
      </w:r>
      <w:proofErr w:type="spellStart"/>
      <w:proofErr w:type="gramStart"/>
      <w:r w:rsidR="00A818B6" w:rsidRPr="003307B3">
        <w:rPr>
          <w:rFonts w:cstheme="minorHAnsi"/>
          <w:sz w:val="21"/>
          <w:szCs w:val="21"/>
          <w:u w:val="single"/>
        </w:rPr>
        <w:t>Monell</w:t>
      </w:r>
      <w:proofErr w:type="spellEnd"/>
      <w:r w:rsidR="00A818B6" w:rsidRPr="003307B3">
        <w:rPr>
          <w:rFonts w:cstheme="minorHAnsi"/>
          <w:sz w:val="21"/>
          <w:szCs w:val="21"/>
          <w:u w:val="single"/>
        </w:rPr>
        <w:t xml:space="preserve"> v. Dep’t of Soc. Serv. of New York</w:t>
      </w:r>
      <w:r w:rsidR="00A818B6" w:rsidRPr="003307B3">
        <w:rPr>
          <w:rFonts w:cstheme="minorHAnsi"/>
          <w:sz w:val="21"/>
          <w:szCs w:val="21"/>
        </w:rPr>
        <w:t>, 436 U.S. 658</w:t>
      </w:r>
      <w:r w:rsidR="003C7240" w:rsidRPr="003307B3">
        <w:rPr>
          <w:rFonts w:cstheme="minorHAnsi"/>
          <w:sz w:val="21"/>
          <w:szCs w:val="21"/>
        </w:rPr>
        <w:t>, 6</w:t>
      </w:r>
      <w:r w:rsidR="003A5528" w:rsidRPr="003307B3">
        <w:rPr>
          <w:rFonts w:cstheme="minorHAnsi"/>
          <w:sz w:val="21"/>
          <w:szCs w:val="21"/>
        </w:rPr>
        <w:t>69</w:t>
      </w:r>
      <w:r w:rsidR="00A818B6" w:rsidRPr="003307B3">
        <w:rPr>
          <w:rFonts w:cstheme="minorHAnsi"/>
          <w:sz w:val="21"/>
          <w:szCs w:val="21"/>
        </w:rPr>
        <w:t xml:space="preserve"> (1978).</w:t>
      </w:r>
      <w:proofErr w:type="gramEnd"/>
      <w:r w:rsidR="003F54EC" w:rsidRPr="003307B3">
        <w:rPr>
          <w:rFonts w:cstheme="minorHAnsi"/>
          <w:sz w:val="21"/>
          <w:szCs w:val="21"/>
        </w:rPr>
        <w:t xml:space="preserve"> Under a §</w:t>
      </w:r>
      <w:r w:rsidR="003C7240" w:rsidRPr="003307B3">
        <w:rPr>
          <w:rFonts w:cstheme="minorHAnsi"/>
          <w:sz w:val="21"/>
          <w:szCs w:val="21"/>
        </w:rPr>
        <w:t xml:space="preserve"> </w:t>
      </w:r>
      <w:r w:rsidR="003F54EC" w:rsidRPr="003307B3">
        <w:rPr>
          <w:rFonts w:cstheme="minorHAnsi"/>
          <w:sz w:val="21"/>
          <w:szCs w:val="21"/>
        </w:rPr>
        <w:t xml:space="preserve">1983 civil suit a cause of action is claimed against an agent of the </w:t>
      </w:r>
      <w:r w:rsidR="003C7240" w:rsidRPr="003307B3">
        <w:rPr>
          <w:rFonts w:cstheme="minorHAnsi"/>
          <w:sz w:val="21"/>
          <w:szCs w:val="21"/>
        </w:rPr>
        <w:t>s</w:t>
      </w:r>
      <w:r w:rsidR="00ED2DFC" w:rsidRPr="003307B3">
        <w:rPr>
          <w:rFonts w:cstheme="minorHAnsi"/>
          <w:sz w:val="21"/>
          <w:szCs w:val="21"/>
        </w:rPr>
        <w:t>tate</w:t>
      </w:r>
      <w:r w:rsidR="003F54EC" w:rsidRPr="003307B3">
        <w:rPr>
          <w:rFonts w:cstheme="minorHAnsi"/>
          <w:sz w:val="21"/>
          <w:szCs w:val="21"/>
        </w:rPr>
        <w:t xml:space="preserve"> who, acting under the color of state law, actively deprives a citizen of a civil right. </w:t>
      </w:r>
      <w:proofErr w:type="gramStart"/>
      <w:r w:rsidR="00E43430" w:rsidRPr="003307B3">
        <w:rPr>
          <w:rFonts w:cstheme="minorHAnsi"/>
          <w:sz w:val="21"/>
          <w:szCs w:val="21"/>
        </w:rPr>
        <w:t>42 U.S.C. §</w:t>
      </w:r>
      <w:r w:rsidR="003C7240" w:rsidRPr="003307B3">
        <w:rPr>
          <w:rFonts w:cstheme="minorHAnsi"/>
          <w:sz w:val="21"/>
          <w:szCs w:val="21"/>
        </w:rPr>
        <w:t xml:space="preserve"> </w:t>
      </w:r>
      <w:r w:rsidR="00E43430" w:rsidRPr="003307B3">
        <w:rPr>
          <w:rFonts w:cstheme="minorHAnsi"/>
          <w:sz w:val="21"/>
          <w:szCs w:val="21"/>
        </w:rPr>
        <w:t>1983</w:t>
      </w:r>
      <w:r w:rsidR="00A818B6" w:rsidRPr="003307B3">
        <w:rPr>
          <w:rFonts w:cstheme="minorHAnsi"/>
          <w:sz w:val="21"/>
          <w:szCs w:val="21"/>
        </w:rPr>
        <w:t xml:space="preserve"> (2006)</w:t>
      </w:r>
      <w:r w:rsidR="00E43430" w:rsidRPr="003307B3">
        <w:rPr>
          <w:rFonts w:cstheme="minorHAnsi"/>
          <w:sz w:val="21"/>
          <w:szCs w:val="21"/>
        </w:rPr>
        <w:t xml:space="preserve">; </w:t>
      </w:r>
      <w:proofErr w:type="spellStart"/>
      <w:r w:rsidR="003C7240" w:rsidRPr="003307B3">
        <w:rPr>
          <w:rFonts w:cstheme="minorHAnsi"/>
          <w:sz w:val="21"/>
          <w:szCs w:val="21"/>
          <w:u w:val="single"/>
        </w:rPr>
        <w:t>Monell</w:t>
      </w:r>
      <w:proofErr w:type="spellEnd"/>
      <w:r w:rsidR="003C7240" w:rsidRPr="003307B3">
        <w:rPr>
          <w:rFonts w:cstheme="minorHAnsi"/>
          <w:sz w:val="21"/>
          <w:szCs w:val="21"/>
        </w:rPr>
        <w:t>, 436 U.S.</w:t>
      </w:r>
      <w:r w:rsidR="003A5528" w:rsidRPr="003307B3">
        <w:rPr>
          <w:rFonts w:cstheme="minorHAnsi"/>
          <w:sz w:val="21"/>
          <w:szCs w:val="21"/>
        </w:rPr>
        <w:t xml:space="preserve"> at 658.</w:t>
      </w:r>
      <w:proofErr w:type="gramEnd"/>
      <w:r w:rsidR="003F54EC" w:rsidRPr="003307B3">
        <w:rPr>
          <w:rFonts w:cstheme="minorHAnsi"/>
          <w:sz w:val="21"/>
          <w:szCs w:val="21"/>
        </w:rPr>
        <w:t xml:space="preserve"> An actor is under the color of state law when conducting duties in the employ, or on behalf of a state agency, or under the protection of state statute. </w:t>
      </w:r>
      <w:proofErr w:type="gramStart"/>
      <w:r w:rsidR="007D0839" w:rsidRPr="003307B3">
        <w:rPr>
          <w:rFonts w:cstheme="minorHAnsi"/>
          <w:sz w:val="21"/>
          <w:szCs w:val="21"/>
          <w:u w:val="single"/>
        </w:rPr>
        <w:t xml:space="preserve">City of Oklahoma City v. Tuttle, </w:t>
      </w:r>
      <w:r w:rsidR="007D0839" w:rsidRPr="003307B3">
        <w:rPr>
          <w:rFonts w:cstheme="minorHAnsi"/>
          <w:sz w:val="21"/>
          <w:szCs w:val="21"/>
        </w:rPr>
        <w:lastRenderedPageBreak/>
        <w:t>471 U.S. 808, 809 (1985).</w:t>
      </w:r>
      <w:proofErr w:type="gramEnd"/>
      <w:r w:rsidR="007D0839" w:rsidRPr="003307B3">
        <w:rPr>
          <w:rFonts w:cstheme="minorHAnsi"/>
          <w:sz w:val="21"/>
          <w:szCs w:val="21"/>
        </w:rPr>
        <w:t xml:space="preserve"> </w:t>
      </w:r>
      <w:r w:rsidR="003F54EC" w:rsidRPr="003307B3">
        <w:rPr>
          <w:rFonts w:cstheme="minorHAnsi"/>
          <w:sz w:val="21"/>
          <w:szCs w:val="21"/>
        </w:rPr>
        <w:t>Liberty interests may be claimed as civil rights, which cannot be withheld or int</w:t>
      </w:r>
      <w:r w:rsidR="00ED2DFC" w:rsidRPr="003307B3">
        <w:rPr>
          <w:rFonts w:cstheme="minorHAnsi"/>
          <w:sz w:val="21"/>
          <w:szCs w:val="21"/>
        </w:rPr>
        <w:t>errupted by any action without Due P</w:t>
      </w:r>
      <w:r w:rsidR="003F54EC" w:rsidRPr="003307B3">
        <w:rPr>
          <w:rFonts w:cstheme="minorHAnsi"/>
          <w:sz w:val="21"/>
          <w:szCs w:val="21"/>
        </w:rPr>
        <w:t xml:space="preserve">rocess of the law. </w:t>
      </w:r>
      <w:r w:rsidR="000C511A" w:rsidRPr="003307B3">
        <w:rPr>
          <w:rFonts w:cstheme="minorHAnsi"/>
          <w:sz w:val="21"/>
          <w:szCs w:val="21"/>
          <w:u w:val="single"/>
        </w:rPr>
        <w:t xml:space="preserve">Maine v. </w:t>
      </w:r>
      <w:proofErr w:type="spellStart"/>
      <w:r w:rsidR="000C511A" w:rsidRPr="003307B3">
        <w:rPr>
          <w:rFonts w:cstheme="minorHAnsi"/>
          <w:sz w:val="21"/>
          <w:szCs w:val="21"/>
          <w:u w:val="single"/>
        </w:rPr>
        <w:t>Thiboutot</w:t>
      </w:r>
      <w:proofErr w:type="spellEnd"/>
      <w:r w:rsidR="000C511A" w:rsidRPr="003307B3">
        <w:rPr>
          <w:rFonts w:cstheme="minorHAnsi"/>
          <w:sz w:val="21"/>
          <w:szCs w:val="21"/>
          <w:u w:val="single"/>
        </w:rPr>
        <w:t>,</w:t>
      </w:r>
      <w:r w:rsidR="000C511A" w:rsidRPr="003307B3">
        <w:rPr>
          <w:rFonts w:cstheme="minorHAnsi"/>
          <w:sz w:val="21"/>
          <w:szCs w:val="21"/>
        </w:rPr>
        <w:t xml:space="preserve"> 448 U.S. 1, 6 (1980).</w:t>
      </w:r>
      <w:r w:rsidR="003F54EC" w:rsidRPr="003307B3">
        <w:rPr>
          <w:rFonts w:cstheme="minorHAnsi"/>
          <w:sz w:val="21"/>
          <w:szCs w:val="21"/>
        </w:rPr>
        <w:t xml:space="preserve">What liberties are protected varies, and can be limited or modified by state interests. </w:t>
      </w:r>
      <w:proofErr w:type="gramStart"/>
      <w:r w:rsidR="00F01D14" w:rsidRPr="003307B3">
        <w:rPr>
          <w:rFonts w:cstheme="minorHAnsi"/>
          <w:sz w:val="21"/>
          <w:szCs w:val="21"/>
          <w:u w:val="single"/>
        </w:rPr>
        <w:t>McCurdy v. Dodd,</w:t>
      </w:r>
      <w:r w:rsidR="00F01D14" w:rsidRPr="003307B3">
        <w:rPr>
          <w:rFonts w:cstheme="minorHAnsi"/>
          <w:sz w:val="21"/>
          <w:szCs w:val="21"/>
        </w:rPr>
        <w:t xml:space="preserve"> 352 F.3d 820, 826 (3d Cir. 2003).</w:t>
      </w:r>
      <w:proofErr w:type="gramEnd"/>
    </w:p>
    <w:p w:rsidR="00D06056" w:rsidRPr="003307B3" w:rsidRDefault="003F54EC" w:rsidP="00C2066F">
      <w:pPr>
        <w:spacing w:after="0" w:line="480" w:lineRule="auto"/>
        <w:rPr>
          <w:rFonts w:cstheme="minorHAnsi"/>
          <w:sz w:val="21"/>
          <w:szCs w:val="21"/>
        </w:rPr>
      </w:pPr>
      <w:r w:rsidRPr="003307B3">
        <w:rPr>
          <w:rFonts w:cstheme="minorHAnsi"/>
          <w:sz w:val="21"/>
          <w:szCs w:val="21"/>
        </w:rPr>
        <w:tab/>
        <w:t xml:space="preserve">Once a protected right is shown, and can be stated to have been violated, a claim for damages is made. </w:t>
      </w:r>
      <w:proofErr w:type="gramStart"/>
      <w:r w:rsidR="00905145" w:rsidRPr="003307B3">
        <w:rPr>
          <w:rFonts w:cstheme="minorHAnsi"/>
          <w:sz w:val="21"/>
          <w:szCs w:val="21"/>
          <w:u w:val="single"/>
        </w:rPr>
        <w:t xml:space="preserve">Memphis </w:t>
      </w:r>
      <w:proofErr w:type="spellStart"/>
      <w:r w:rsidR="00905145" w:rsidRPr="003307B3">
        <w:rPr>
          <w:rFonts w:cstheme="minorHAnsi"/>
          <w:sz w:val="21"/>
          <w:szCs w:val="21"/>
          <w:u w:val="single"/>
        </w:rPr>
        <w:t>Cmty</w:t>
      </w:r>
      <w:proofErr w:type="spellEnd"/>
      <w:r w:rsidR="00905145" w:rsidRPr="003307B3">
        <w:rPr>
          <w:rFonts w:cstheme="minorHAnsi"/>
          <w:sz w:val="21"/>
          <w:szCs w:val="21"/>
          <w:u w:val="single"/>
        </w:rPr>
        <w:t>.</w:t>
      </w:r>
      <w:proofErr w:type="gramEnd"/>
      <w:r w:rsidR="00905145" w:rsidRPr="003307B3">
        <w:rPr>
          <w:rFonts w:cstheme="minorHAnsi"/>
          <w:sz w:val="21"/>
          <w:szCs w:val="21"/>
          <w:u w:val="single"/>
        </w:rPr>
        <w:t xml:space="preserve"> </w:t>
      </w:r>
      <w:proofErr w:type="gramStart"/>
      <w:r w:rsidR="00905145" w:rsidRPr="003307B3">
        <w:rPr>
          <w:rFonts w:cstheme="minorHAnsi"/>
          <w:sz w:val="21"/>
          <w:szCs w:val="21"/>
          <w:u w:val="single"/>
        </w:rPr>
        <w:t>Sch. Dist.,</w:t>
      </w:r>
      <w:r w:rsidR="00905145" w:rsidRPr="003307B3">
        <w:rPr>
          <w:rFonts w:cstheme="minorHAnsi"/>
          <w:sz w:val="21"/>
          <w:szCs w:val="21"/>
        </w:rPr>
        <w:t xml:space="preserve"> 477 U.S. 299, 299 (1986).</w:t>
      </w:r>
      <w:proofErr w:type="gramEnd"/>
      <w:r w:rsidR="00905145" w:rsidRPr="003307B3">
        <w:rPr>
          <w:rFonts w:cstheme="minorHAnsi"/>
          <w:sz w:val="21"/>
          <w:szCs w:val="21"/>
        </w:rPr>
        <w:t xml:space="preserve"> </w:t>
      </w:r>
      <w:r w:rsidR="00D06056" w:rsidRPr="003307B3">
        <w:rPr>
          <w:rFonts w:cstheme="minorHAnsi"/>
          <w:sz w:val="21"/>
          <w:szCs w:val="21"/>
        </w:rPr>
        <w:t xml:space="preserve">A decedent’s survivors may then have grounds to sue for a </w:t>
      </w:r>
      <w:r w:rsidR="00AA21BA" w:rsidRPr="003307B3">
        <w:rPr>
          <w:rFonts w:cstheme="minorHAnsi"/>
          <w:sz w:val="21"/>
          <w:szCs w:val="21"/>
        </w:rPr>
        <w:t>loss of</w:t>
      </w:r>
      <w:r w:rsidRPr="003307B3">
        <w:rPr>
          <w:rFonts w:cstheme="minorHAnsi"/>
          <w:sz w:val="21"/>
          <w:szCs w:val="21"/>
        </w:rPr>
        <w:t xml:space="preserve"> society, consortium and companionship suffered due to the actions of </w:t>
      </w:r>
      <w:r w:rsidR="00550879" w:rsidRPr="003307B3">
        <w:rPr>
          <w:rFonts w:cstheme="minorHAnsi"/>
          <w:sz w:val="21"/>
          <w:szCs w:val="21"/>
        </w:rPr>
        <w:t xml:space="preserve">the </w:t>
      </w:r>
      <w:r w:rsidRPr="003307B3">
        <w:rPr>
          <w:rFonts w:cstheme="minorHAnsi"/>
          <w:sz w:val="21"/>
          <w:szCs w:val="21"/>
        </w:rPr>
        <w:t xml:space="preserve">defendant. </w:t>
      </w:r>
      <w:proofErr w:type="gramStart"/>
      <w:r w:rsidR="00EF394D" w:rsidRPr="003307B3">
        <w:rPr>
          <w:rFonts w:cstheme="minorHAnsi"/>
          <w:sz w:val="21"/>
          <w:szCs w:val="21"/>
          <w:u w:val="single"/>
        </w:rPr>
        <w:t>Bell v. City of Milwaukee,</w:t>
      </w:r>
      <w:r w:rsidR="00EF394D" w:rsidRPr="003307B3">
        <w:rPr>
          <w:rFonts w:cstheme="minorHAnsi"/>
          <w:sz w:val="21"/>
          <w:szCs w:val="21"/>
        </w:rPr>
        <w:t xml:space="preserve"> 746 F.2d 1205, 1244 (7</w:t>
      </w:r>
      <w:r w:rsidR="00EF394D" w:rsidRPr="003307B3">
        <w:rPr>
          <w:rFonts w:cstheme="minorHAnsi"/>
          <w:sz w:val="21"/>
          <w:szCs w:val="21"/>
          <w:vertAlign w:val="superscript"/>
        </w:rPr>
        <w:t>th</w:t>
      </w:r>
      <w:r w:rsidR="00EF394D" w:rsidRPr="003307B3">
        <w:rPr>
          <w:rFonts w:cstheme="minorHAnsi"/>
          <w:sz w:val="21"/>
          <w:szCs w:val="21"/>
        </w:rPr>
        <w:t xml:space="preserve"> Cir. 1984).</w:t>
      </w:r>
      <w:proofErr w:type="gramEnd"/>
      <w:r w:rsidR="00C220A2" w:rsidRPr="003307B3">
        <w:rPr>
          <w:rFonts w:cstheme="minorHAnsi"/>
          <w:sz w:val="21"/>
          <w:szCs w:val="21"/>
        </w:rPr>
        <w:t xml:space="preserve"> </w:t>
      </w:r>
      <w:r w:rsidRPr="003307B3">
        <w:rPr>
          <w:rFonts w:cstheme="minorHAnsi"/>
          <w:sz w:val="21"/>
          <w:szCs w:val="21"/>
        </w:rPr>
        <w:t xml:space="preserve">The love, care, counsel, advice and support of the decedent may be considered in terms </w:t>
      </w:r>
      <w:r w:rsidR="00811FCD" w:rsidRPr="003307B3">
        <w:rPr>
          <w:rFonts w:cstheme="minorHAnsi"/>
          <w:sz w:val="21"/>
          <w:szCs w:val="21"/>
        </w:rPr>
        <w:t>of the benefits lost while the</w:t>
      </w:r>
      <w:r w:rsidRPr="003307B3">
        <w:rPr>
          <w:rFonts w:cstheme="minorHAnsi"/>
          <w:sz w:val="21"/>
          <w:szCs w:val="21"/>
        </w:rPr>
        <w:t xml:space="preserve"> loved one was alive, and the expected benefit a survivor would have reasonably expected had the dece</w:t>
      </w:r>
      <w:r w:rsidR="0006022A" w:rsidRPr="003307B3">
        <w:rPr>
          <w:rFonts w:cstheme="minorHAnsi"/>
          <w:sz w:val="21"/>
          <w:szCs w:val="21"/>
        </w:rPr>
        <w:t xml:space="preserve">ased continued to live. </w:t>
      </w:r>
      <w:proofErr w:type="spellStart"/>
      <w:proofErr w:type="gramStart"/>
      <w:r w:rsidR="0006022A" w:rsidRPr="003307B3">
        <w:rPr>
          <w:rFonts w:cstheme="minorHAnsi"/>
          <w:sz w:val="21"/>
          <w:szCs w:val="21"/>
          <w:u w:val="single"/>
        </w:rPr>
        <w:t>Vogler</w:t>
      </w:r>
      <w:proofErr w:type="spellEnd"/>
      <w:r w:rsidR="0006022A" w:rsidRPr="003307B3">
        <w:rPr>
          <w:rFonts w:cstheme="minorHAnsi"/>
          <w:sz w:val="21"/>
          <w:szCs w:val="21"/>
          <w:u w:val="single"/>
        </w:rPr>
        <w:t xml:space="preserve"> v. Blackmore</w:t>
      </w:r>
      <w:r w:rsidR="0006022A" w:rsidRPr="003307B3">
        <w:rPr>
          <w:rFonts w:cstheme="minorHAnsi"/>
          <w:sz w:val="21"/>
          <w:szCs w:val="21"/>
        </w:rPr>
        <w:t>, 352 F.3d 150, 154 (5th Cir. 2003).</w:t>
      </w:r>
      <w:proofErr w:type="gramEnd"/>
      <w:r w:rsidRPr="003307B3">
        <w:rPr>
          <w:rFonts w:cstheme="minorHAnsi"/>
          <w:sz w:val="21"/>
          <w:szCs w:val="21"/>
        </w:rPr>
        <w:t xml:space="preserve"> To recover, the plaintiff must first assert the constitutional right which was deprived, and t</w:t>
      </w:r>
      <w:r w:rsidR="00F01D14" w:rsidRPr="003307B3">
        <w:rPr>
          <w:rFonts w:cstheme="minorHAnsi"/>
          <w:sz w:val="21"/>
          <w:szCs w:val="21"/>
        </w:rPr>
        <w:t xml:space="preserve">he injury which followed. </w:t>
      </w:r>
      <w:r w:rsidR="00F01D14" w:rsidRPr="003307B3">
        <w:rPr>
          <w:rFonts w:cstheme="minorHAnsi"/>
          <w:sz w:val="21"/>
          <w:szCs w:val="21"/>
          <w:u w:val="single"/>
        </w:rPr>
        <w:t>Dodd</w:t>
      </w:r>
      <w:r w:rsidR="00F01D14" w:rsidRPr="003307B3">
        <w:rPr>
          <w:rFonts w:cstheme="minorHAnsi"/>
          <w:sz w:val="21"/>
          <w:szCs w:val="21"/>
        </w:rPr>
        <w:t xml:space="preserve">, </w:t>
      </w:r>
      <w:proofErr w:type="gramStart"/>
      <w:r w:rsidR="00F01D14" w:rsidRPr="003307B3">
        <w:rPr>
          <w:rFonts w:cstheme="minorHAnsi"/>
          <w:sz w:val="21"/>
          <w:szCs w:val="21"/>
        </w:rPr>
        <w:t>352 F.3d at 825</w:t>
      </w:r>
      <w:proofErr w:type="gramEnd"/>
      <w:r w:rsidR="00F01D14" w:rsidRPr="003307B3">
        <w:rPr>
          <w:rFonts w:cstheme="minorHAnsi"/>
          <w:sz w:val="21"/>
          <w:szCs w:val="21"/>
        </w:rPr>
        <w:t>.</w:t>
      </w:r>
      <w:r w:rsidRPr="003307B3">
        <w:rPr>
          <w:rFonts w:cstheme="minorHAnsi"/>
          <w:sz w:val="21"/>
          <w:szCs w:val="21"/>
        </w:rPr>
        <w:t xml:space="preserve"> The defendant must then be shown to be an agent of the </w:t>
      </w:r>
      <w:r w:rsidR="003C7240" w:rsidRPr="003307B3">
        <w:rPr>
          <w:rFonts w:cstheme="minorHAnsi"/>
          <w:sz w:val="21"/>
          <w:szCs w:val="21"/>
        </w:rPr>
        <w:t>s</w:t>
      </w:r>
      <w:r w:rsidR="00ED2DFC" w:rsidRPr="003307B3">
        <w:rPr>
          <w:rFonts w:cstheme="minorHAnsi"/>
          <w:sz w:val="21"/>
          <w:szCs w:val="21"/>
        </w:rPr>
        <w:t>tate</w:t>
      </w:r>
      <w:r w:rsidRPr="003307B3">
        <w:rPr>
          <w:rFonts w:cstheme="minorHAnsi"/>
          <w:sz w:val="21"/>
          <w:szCs w:val="21"/>
        </w:rPr>
        <w:t>,</w:t>
      </w:r>
      <w:r w:rsidR="00EF394D" w:rsidRPr="003307B3">
        <w:rPr>
          <w:rFonts w:cstheme="minorHAnsi"/>
          <w:sz w:val="21"/>
          <w:szCs w:val="21"/>
        </w:rPr>
        <w:t xml:space="preserve"> acting in that capacity. </w:t>
      </w:r>
      <w:proofErr w:type="gramStart"/>
      <w:r w:rsidR="00EF394D" w:rsidRPr="003307B3">
        <w:rPr>
          <w:rFonts w:cstheme="minorHAnsi"/>
          <w:sz w:val="21"/>
          <w:szCs w:val="21"/>
          <w:u w:val="single"/>
        </w:rPr>
        <w:t>Russ v. Watts,</w:t>
      </w:r>
      <w:r w:rsidR="00EF394D" w:rsidRPr="003307B3">
        <w:rPr>
          <w:rFonts w:cstheme="minorHAnsi"/>
          <w:sz w:val="21"/>
          <w:szCs w:val="21"/>
        </w:rPr>
        <w:t xml:space="preserve"> 414 F.3d 783, 786 (7</w:t>
      </w:r>
      <w:r w:rsidR="00EF394D" w:rsidRPr="003307B3">
        <w:rPr>
          <w:rFonts w:cstheme="minorHAnsi"/>
          <w:sz w:val="21"/>
          <w:szCs w:val="21"/>
          <w:vertAlign w:val="superscript"/>
        </w:rPr>
        <w:t>th</w:t>
      </w:r>
      <w:r w:rsidR="00EF394D" w:rsidRPr="003307B3">
        <w:rPr>
          <w:rFonts w:cstheme="minorHAnsi"/>
          <w:sz w:val="21"/>
          <w:szCs w:val="21"/>
        </w:rPr>
        <w:t xml:space="preserve"> Cir. 2005).</w:t>
      </w:r>
      <w:proofErr w:type="gramEnd"/>
      <w:r w:rsidR="00ED2DFC" w:rsidRPr="003307B3">
        <w:rPr>
          <w:rFonts w:cstheme="minorHAnsi"/>
          <w:sz w:val="21"/>
          <w:szCs w:val="21"/>
        </w:rPr>
        <w:t xml:space="preserve"> Under the Due P</w:t>
      </w:r>
      <w:r w:rsidRPr="003307B3">
        <w:rPr>
          <w:rFonts w:cstheme="minorHAnsi"/>
          <w:sz w:val="21"/>
          <w:szCs w:val="21"/>
        </w:rPr>
        <w:t xml:space="preserve">rocess </w:t>
      </w:r>
      <w:r w:rsidR="005E3162" w:rsidRPr="003307B3">
        <w:rPr>
          <w:rFonts w:cstheme="minorHAnsi"/>
          <w:sz w:val="21"/>
          <w:szCs w:val="21"/>
        </w:rPr>
        <w:t>Clause</w:t>
      </w:r>
      <w:r w:rsidRPr="003307B3">
        <w:rPr>
          <w:rFonts w:cstheme="minorHAnsi"/>
          <w:sz w:val="21"/>
          <w:szCs w:val="21"/>
        </w:rPr>
        <w:t>, the plaintiff must also show the actions of the d</w:t>
      </w:r>
      <w:r w:rsidR="00EF394D" w:rsidRPr="003307B3">
        <w:rPr>
          <w:rFonts w:cstheme="minorHAnsi"/>
          <w:sz w:val="21"/>
          <w:szCs w:val="21"/>
        </w:rPr>
        <w:t xml:space="preserve">efendant were </w:t>
      </w:r>
      <w:r w:rsidR="00381109" w:rsidRPr="003307B3">
        <w:rPr>
          <w:rFonts w:cstheme="minorHAnsi"/>
          <w:sz w:val="21"/>
          <w:szCs w:val="21"/>
        </w:rPr>
        <w:t>either deliberate, or</w:t>
      </w:r>
      <w:r w:rsidR="003C7240" w:rsidRPr="003307B3">
        <w:rPr>
          <w:rFonts w:cstheme="minorHAnsi"/>
          <w:sz w:val="21"/>
          <w:szCs w:val="21"/>
        </w:rPr>
        <w:t xml:space="preserve"> </w:t>
      </w:r>
      <w:r w:rsidR="00381109" w:rsidRPr="003307B3">
        <w:rPr>
          <w:rFonts w:cstheme="minorHAnsi"/>
          <w:sz w:val="21"/>
          <w:szCs w:val="21"/>
        </w:rPr>
        <w:t xml:space="preserve">as a result of the performance of state duties. </w:t>
      </w:r>
      <w:r w:rsidR="00EF394D" w:rsidRPr="003307B3">
        <w:rPr>
          <w:rFonts w:cstheme="minorHAnsi"/>
          <w:sz w:val="21"/>
          <w:szCs w:val="21"/>
          <w:u w:val="single"/>
        </w:rPr>
        <w:t>Id.</w:t>
      </w:r>
      <w:r w:rsidRPr="003307B3">
        <w:rPr>
          <w:rFonts w:cstheme="minorHAnsi"/>
          <w:sz w:val="21"/>
          <w:szCs w:val="21"/>
        </w:rPr>
        <w:t xml:space="preserve"> Some courts hold that recovery for this form of loss is intended fo</w:t>
      </w:r>
      <w:r w:rsidR="00DD35FC" w:rsidRPr="003307B3">
        <w:rPr>
          <w:rFonts w:cstheme="minorHAnsi"/>
          <w:sz w:val="21"/>
          <w:szCs w:val="21"/>
        </w:rPr>
        <w:t>r the benefit of couples, and</w:t>
      </w:r>
      <w:r w:rsidRPr="003307B3">
        <w:rPr>
          <w:rFonts w:cstheme="minorHAnsi"/>
          <w:sz w:val="21"/>
          <w:szCs w:val="21"/>
        </w:rPr>
        <w:t xml:space="preserve"> only spouses may recover. </w:t>
      </w:r>
      <w:proofErr w:type="gramStart"/>
      <w:r w:rsidR="006B6A79" w:rsidRPr="003307B3">
        <w:rPr>
          <w:rFonts w:cstheme="minorHAnsi"/>
          <w:sz w:val="21"/>
          <w:szCs w:val="21"/>
          <w:u w:val="single"/>
        </w:rPr>
        <w:t>Douglass v. Delta Air Lines, Inc.,</w:t>
      </w:r>
      <w:r w:rsidR="006B6A79" w:rsidRPr="003307B3">
        <w:rPr>
          <w:rFonts w:cstheme="minorHAnsi"/>
          <w:sz w:val="21"/>
          <w:szCs w:val="21"/>
        </w:rPr>
        <w:t xml:space="preserve"> 897 F.2d 1336, 1339 (5th Cir. 1990).</w:t>
      </w:r>
      <w:proofErr w:type="gramEnd"/>
      <w:r w:rsidR="006B6A79" w:rsidRPr="003307B3">
        <w:rPr>
          <w:rFonts w:cstheme="minorHAnsi"/>
          <w:sz w:val="21"/>
          <w:szCs w:val="21"/>
        </w:rPr>
        <w:t xml:space="preserve"> </w:t>
      </w:r>
      <w:r w:rsidRPr="003307B3">
        <w:rPr>
          <w:rFonts w:cstheme="minorHAnsi"/>
          <w:sz w:val="21"/>
          <w:szCs w:val="21"/>
        </w:rPr>
        <w:t>Others hold that the loss itself dictates the survivors w</w:t>
      </w:r>
      <w:r w:rsidR="0006022A" w:rsidRPr="003307B3">
        <w:rPr>
          <w:rFonts w:cstheme="minorHAnsi"/>
          <w:sz w:val="21"/>
          <w:szCs w:val="21"/>
        </w:rPr>
        <w:t xml:space="preserve">ho may recover damages, </w:t>
      </w:r>
      <w:r w:rsidR="0006022A" w:rsidRPr="003307B3">
        <w:rPr>
          <w:rFonts w:cstheme="minorHAnsi"/>
          <w:sz w:val="21"/>
          <w:szCs w:val="21"/>
          <w:u w:val="single"/>
        </w:rPr>
        <w:t>Pleasant v. Washington Sand and Gravel Co.</w:t>
      </w:r>
      <w:r w:rsidR="0006022A" w:rsidRPr="003307B3">
        <w:rPr>
          <w:rFonts w:cstheme="minorHAnsi"/>
          <w:sz w:val="21"/>
          <w:szCs w:val="21"/>
        </w:rPr>
        <w:t>, 262 F.2d 471, 472 (D.C. Cir. 1958)</w:t>
      </w:r>
      <w:r w:rsidRPr="003307B3">
        <w:rPr>
          <w:rFonts w:cstheme="minorHAnsi"/>
          <w:sz w:val="21"/>
          <w:szCs w:val="21"/>
        </w:rPr>
        <w:t>; courts have used this argument to enable or preclude family members from recovering for loss o</w:t>
      </w:r>
      <w:r w:rsidR="00EF394D" w:rsidRPr="003307B3">
        <w:rPr>
          <w:rFonts w:cstheme="minorHAnsi"/>
          <w:sz w:val="21"/>
          <w:szCs w:val="21"/>
        </w:rPr>
        <w:t xml:space="preserve">f companionship. </w:t>
      </w:r>
      <w:r w:rsidR="00EF394D" w:rsidRPr="003307B3">
        <w:rPr>
          <w:rFonts w:cstheme="minorHAnsi"/>
          <w:sz w:val="21"/>
          <w:szCs w:val="21"/>
          <w:u w:val="single"/>
        </w:rPr>
        <w:t>Bell,</w:t>
      </w:r>
      <w:r w:rsidR="00EF394D" w:rsidRPr="003307B3">
        <w:rPr>
          <w:rFonts w:cstheme="minorHAnsi"/>
          <w:sz w:val="21"/>
          <w:szCs w:val="21"/>
        </w:rPr>
        <w:t xml:space="preserve"> </w:t>
      </w:r>
      <w:proofErr w:type="gramStart"/>
      <w:r w:rsidR="00EF394D" w:rsidRPr="003307B3">
        <w:rPr>
          <w:rFonts w:cstheme="minorHAnsi"/>
          <w:sz w:val="21"/>
          <w:szCs w:val="21"/>
        </w:rPr>
        <w:t>746 F.2d at 1244</w:t>
      </w:r>
      <w:proofErr w:type="gramEnd"/>
    </w:p>
    <w:p w:rsidR="00FC077C" w:rsidRPr="003307B3" w:rsidRDefault="003F54EC" w:rsidP="00C2066F">
      <w:pPr>
        <w:spacing w:after="0" w:line="480" w:lineRule="auto"/>
        <w:rPr>
          <w:rFonts w:cstheme="minorHAnsi"/>
          <w:sz w:val="21"/>
          <w:szCs w:val="21"/>
        </w:rPr>
      </w:pPr>
      <w:r w:rsidRPr="003307B3">
        <w:rPr>
          <w:rFonts w:cstheme="minorHAnsi"/>
          <w:sz w:val="21"/>
          <w:szCs w:val="21"/>
        </w:rPr>
        <w:tab/>
        <w:t>This is an iss</w:t>
      </w:r>
      <w:r w:rsidR="00C220A2" w:rsidRPr="003307B3">
        <w:rPr>
          <w:rFonts w:cstheme="minorHAnsi"/>
          <w:sz w:val="21"/>
          <w:szCs w:val="21"/>
        </w:rPr>
        <w:t>ue of first impression in the Fourteenth</w:t>
      </w:r>
      <w:r w:rsidRPr="003307B3">
        <w:rPr>
          <w:rFonts w:cstheme="minorHAnsi"/>
          <w:sz w:val="21"/>
          <w:szCs w:val="21"/>
        </w:rPr>
        <w:t xml:space="preserve"> Circuit, and as such the court will likely look to the holdings of other circuits when ruling. </w:t>
      </w:r>
      <w:r w:rsidR="00F20AED" w:rsidRPr="003307B3">
        <w:rPr>
          <w:rFonts w:cstheme="minorHAnsi"/>
          <w:sz w:val="21"/>
          <w:szCs w:val="21"/>
        </w:rPr>
        <w:t xml:space="preserve">The court will </w:t>
      </w:r>
      <w:r w:rsidR="002A2A6B" w:rsidRPr="003307B3">
        <w:rPr>
          <w:rFonts w:cstheme="minorHAnsi"/>
          <w:sz w:val="21"/>
          <w:szCs w:val="21"/>
        </w:rPr>
        <w:t xml:space="preserve">rule that a §1983 claim is appropriate given Ronald’s position at a state funded facility, and his intentional mistreatment of Bess in order to harm Mary. </w:t>
      </w:r>
      <w:r w:rsidR="007D0839" w:rsidRPr="003307B3">
        <w:rPr>
          <w:rFonts w:cstheme="minorHAnsi"/>
          <w:sz w:val="21"/>
          <w:szCs w:val="21"/>
          <w:u w:val="single"/>
        </w:rPr>
        <w:t>Tuttle,</w:t>
      </w:r>
      <w:r w:rsidR="007D0839" w:rsidRPr="003307B3">
        <w:rPr>
          <w:rFonts w:cstheme="minorHAnsi"/>
          <w:sz w:val="21"/>
          <w:szCs w:val="21"/>
        </w:rPr>
        <w:t xml:space="preserve"> 471 U.S. at 813. </w:t>
      </w:r>
      <w:r w:rsidRPr="003307B3">
        <w:rPr>
          <w:rFonts w:cstheme="minorHAnsi"/>
          <w:sz w:val="21"/>
          <w:szCs w:val="21"/>
        </w:rPr>
        <w:t>The court will</w:t>
      </w:r>
      <w:r w:rsidR="002A2A6B" w:rsidRPr="003307B3">
        <w:rPr>
          <w:rFonts w:cstheme="minorHAnsi"/>
          <w:sz w:val="21"/>
          <w:szCs w:val="21"/>
        </w:rPr>
        <w:t xml:space="preserve"> also</w:t>
      </w:r>
      <w:r w:rsidRPr="003307B3">
        <w:rPr>
          <w:rFonts w:cstheme="minorHAnsi"/>
          <w:sz w:val="21"/>
          <w:szCs w:val="21"/>
        </w:rPr>
        <w:t xml:space="preserve"> likely look to established holdings furthering the idea of familial right to recovery, and how this right is substantiated through dependency, emotional attachment, an</w:t>
      </w:r>
      <w:r w:rsidR="00465832" w:rsidRPr="003307B3">
        <w:rPr>
          <w:rFonts w:cstheme="minorHAnsi"/>
          <w:sz w:val="21"/>
          <w:szCs w:val="21"/>
        </w:rPr>
        <w:t xml:space="preserve">d loss. </w:t>
      </w:r>
      <w:proofErr w:type="spellStart"/>
      <w:proofErr w:type="gramStart"/>
      <w:r w:rsidR="00465832" w:rsidRPr="003307B3">
        <w:rPr>
          <w:rFonts w:cstheme="minorHAnsi"/>
          <w:sz w:val="21"/>
          <w:szCs w:val="21"/>
          <w:u w:val="single"/>
        </w:rPr>
        <w:t>Hallberg</w:t>
      </w:r>
      <w:proofErr w:type="spellEnd"/>
      <w:r w:rsidR="00465832" w:rsidRPr="003307B3">
        <w:rPr>
          <w:rFonts w:cstheme="minorHAnsi"/>
          <w:sz w:val="21"/>
          <w:szCs w:val="21"/>
          <w:u w:val="single"/>
        </w:rPr>
        <w:t xml:space="preserve"> v. Brasher</w:t>
      </w:r>
      <w:r w:rsidR="00465832" w:rsidRPr="003307B3">
        <w:rPr>
          <w:rFonts w:cstheme="minorHAnsi"/>
          <w:sz w:val="21"/>
          <w:szCs w:val="21"/>
        </w:rPr>
        <w:t>, 679 F.2d 751, 758 (8th Cir. 1982).</w:t>
      </w:r>
      <w:proofErr w:type="gramEnd"/>
      <w:r w:rsidR="00C220A2" w:rsidRPr="003307B3">
        <w:rPr>
          <w:rFonts w:cstheme="minorHAnsi"/>
          <w:sz w:val="21"/>
          <w:szCs w:val="21"/>
        </w:rPr>
        <w:t xml:space="preserve"> The Fourteenth C</w:t>
      </w:r>
      <w:r w:rsidRPr="003307B3">
        <w:rPr>
          <w:rFonts w:cstheme="minorHAnsi"/>
          <w:sz w:val="21"/>
          <w:szCs w:val="21"/>
        </w:rPr>
        <w:t>ircuit will likely agree that the denial of recovery due to a statutory technicality would not serve the interests of justice, and the rulings of other districts r</w:t>
      </w:r>
      <w:r w:rsidR="00465832" w:rsidRPr="003307B3">
        <w:rPr>
          <w:rFonts w:cstheme="minorHAnsi"/>
          <w:sz w:val="21"/>
          <w:szCs w:val="21"/>
        </w:rPr>
        <w:t xml:space="preserve">eflect </w:t>
      </w:r>
      <w:r w:rsidR="00465832" w:rsidRPr="003307B3">
        <w:rPr>
          <w:rFonts w:cstheme="minorHAnsi"/>
          <w:sz w:val="21"/>
          <w:szCs w:val="21"/>
        </w:rPr>
        <w:lastRenderedPageBreak/>
        <w:t xml:space="preserve">that holding. </w:t>
      </w:r>
      <w:r w:rsidR="00465832" w:rsidRPr="003307B3">
        <w:rPr>
          <w:rFonts w:cstheme="minorHAnsi"/>
          <w:sz w:val="21"/>
          <w:szCs w:val="21"/>
          <w:u w:val="single"/>
        </w:rPr>
        <w:t>Halverson</w:t>
      </w:r>
      <w:r w:rsidR="00465832" w:rsidRPr="003307B3">
        <w:rPr>
          <w:rFonts w:cstheme="minorHAnsi"/>
          <w:sz w:val="21"/>
          <w:szCs w:val="21"/>
        </w:rPr>
        <w:t xml:space="preserve">, </w:t>
      </w:r>
      <w:proofErr w:type="gramStart"/>
      <w:r w:rsidR="00465832" w:rsidRPr="003307B3">
        <w:rPr>
          <w:rFonts w:cstheme="minorHAnsi"/>
          <w:sz w:val="21"/>
          <w:szCs w:val="21"/>
        </w:rPr>
        <w:t>495 F.2d at 820</w:t>
      </w:r>
      <w:proofErr w:type="gramEnd"/>
      <w:r w:rsidR="00465832" w:rsidRPr="003307B3">
        <w:rPr>
          <w:rFonts w:cstheme="minorHAnsi"/>
          <w:sz w:val="21"/>
          <w:szCs w:val="21"/>
        </w:rPr>
        <w:t>.</w:t>
      </w:r>
      <w:r w:rsidRPr="003307B3">
        <w:rPr>
          <w:rFonts w:cstheme="minorHAnsi"/>
          <w:sz w:val="21"/>
          <w:szCs w:val="21"/>
        </w:rPr>
        <w:t xml:space="preserve"> Mary is a blood relative to Bess, and there is compelling evidence that she acted as a pseudo</w:t>
      </w:r>
      <w:r w:rsidR="0006022A" w:rsidRPr="003307B3">
        <w:rPr>
          <w:rFonts w:cstheme="minorHAnsi"/>
          <w:sz w:val="21"/>
          <w:szCs w:val="21"/>
        </w:rPr>
        <w:t xml:space="preserve">-parent </w:t>
      </w:r>
      <w:r w:rsidR="00DD35FC" w:rsidRPr="003307B3">
        <w:rPr>
          <w:rFonts w:cstheme="minorHAnsi"/>
          <w:sz w:val="21"/>
          <w:szCs w:val="21"/>
        </w:rPr>
        <w:t xml:space="preserve">to </w:t>
      </w:r>
      <w:r w:rsidR="00A23A76" w:rsidRPr="003307B3">
        <w:rPr>
          <w:rFonts w:cstheme="minorHAnsi"/>
          <w:sz w:val="21"/>
          <w:szCs w:val="21"/>
        </w:rPr>
        <w:t>Bess.</w:t>
      </w:r>
      <w:r w:rsidR="0006022A" w:rsidRPr="003307B3">
        <w:rPr>
          <w:rFonts w:cstheme="minorHAnsi"/>
          <w:sz w:val="21"/>
          <w:szCs w:val="21"/>
        </w:rPr>
        <w:t xml:space="preserve"> </w:t>
      </w:r>
      <w:proofErr w:type="spellStart"/>
      <w:r w:rsidR="0006022A" w:rsidRPr="003307B3">
        <w:rPr>
          <w:rFonts w:cstheme="minorHAnsi"/>
          <w:sz w:val="21"/>
          <w:szCs w:val="21"/>
          <w:u w:val="single"/>
        </w:rPr>
        <w:t>Vogler</w:t>
      </w:r>
      <w:proofErr w:type="spellEnd"/>
      <w:r w:rsidR="0006022A" w:rsidRPr="003307B3">
        <w:rPr>
          <w:rFonts w:cstheme="minorHAnsi"/>
          <w:sz w:val="21"/>
          <w:szCs w:val="21"/>
        </w:rPr>
        <w:t xml:space="preserve">, </w:t>
      </w:r>
      <w:proofErr w:type="gramStart"/>
      <w:r w:rsidR="0006022A" w:rsidRPr="003307B3">
        <w:rPr>
          <w:rFonts w:cstheme="minorHAnsi"/>
          <w:sz w:val="21"/>
          <w:szCs w:val="21"/>
        </w:rPr>
        <w:t>352 F.3d at 155</w:t>
      </w:r>
      <w:proofErr w:type="gramEnd"/>
      <w:r w:rsidR="0006022A" w:rsidRPr="003307B3">
        <w:rPr>
          <w:rFonts w:cstheme="minorHAnsi"/>
          <w:sz w:val="21"/>
          <w:szCs w:val="21"/>
        </w:rPr>
        <w:t>.</w:t>
      </w:r>
      <w:r w:rsidR="002A2A6B" w:rsidRPr="003307B3">
        <w:rPr>
          <w:rFonts w:cstheme="minorHAnsi"/>
          <w:sz w:val="21"/>
          <w:szCs w:val="21"/>
        </w:rPr>
        <w:t xml:space="preserve"> </w:t>
      </w:r>
      <w:r w:rsidRPr="003307B3">
        <w:rPr>
          <w:rFonts w:cstheme="minorHAnsi"/>
          <w:sz w:val="21"/>
          <w:szCs w:val="21"/>
        </w:rPr>
        <w:t>The court will likely take the totality of the familial relationship into account, and rule that Mary is eligible to make a claim for</w:t>
      </w:r>
      <w:r w:rsidR="00DD35FC" w:rsidRPr="003307B3">
        <w:rPr>
          <w:rFonts w:cstheme="minorHAnsi"/>
          <w:sz w:val="21"/>
          <w:szCs w:val="21"/>
        </w:rPr>
        <w:t xml:space="preserve"> the</w:t>
      </w:r>
      <w:r w:rsidRPr="003307B3">
        <w:rPr>
          <w:rFonts w:cstheme="minorHAnsi"/>
          <w:sz w:val="21"/>
          <w:szCs w:val="21"/>
        </w:rPr>
        <w:t xml:space="preserve"> loss of companionship. </w:t>
      </w:r>
      <w:proofErr w:type="gramStart"/>
      <w:r w:rsidR="00F36D22" w:rsidRPr="003307B3">
        <w:rPr>
          <w:rFonts w:cstheme="minorHAnsi"/>
          <w:sz w:val="21"/>
          <w:szCs w:val="21"/>
          <w:u w:val="single"/>
        </w:rPr>
        <w:t xml:space="preserve">Bradley v. </w:t>
      </w:r>
      <w:proofErr w:type="spellStart"/>
      <w:r w:rsidR="00F36D22" w:rsidRPr="003307B3">
        <w:rPr>
          <w:rFonts w:cstheme="minorHAnsi"/>
          <w:sz w:val="21"/>
          <w:szCs w:val="21"/>
          <w:u w:val="single"/>
        </w:rPr>
        <w:t>Sebelius</w:t>
      </w:r>
      <w:proofErr w:type="spellEnd"/>
      <w:r w:rsidR="00F36D22" w:rsidRPr="003307B3">
        <w:rPr>
          <w:rFonts w:cstheme="minorHAnsi"/>
          <w:sz w:val="21"/>
          <w:szCs w:val="21"/>
          <w:u w:val="single"/>
        </w:rPr>
        <w:t>,</w:t>
      </w:r>
      <w:r w:rsidR="00F36D22" w:rsidRPr="003307B3">
        <w:rPr>
          <w:rFonts w:cstheme="minorHAnsi"/>
          <w:sz w:val="21"/>
          <w:szCs w:val="21"/>
        </w:rPr>
        <w:t xml:space="preserve"> 621 F.3d 1330, 1333 (11th Cir. 2010).</w:t>
      </w:r>
      <w:proofErr w:type="gramEnd"/>
    </w:p>
    <w:p w:rsidR="00C220A2" w:rsidRPr="003307B3" w:rsidRDefault="00DF011D" w:rsidP="00C2066F">
      <w:pPr>
        <w:spacing w:after="0" w:line="480" w:lineRule="auto"/>
        <w:rPr>
          <w:rFonts w:cstheme="minorHAnsi"/>
          <w:sz w:val="21"/>
          <w:szCs w:val="21"/>
        </w:rPr>
      </w:pPr>
      <w:r w:rsidRPr="003307B3">
        <w:rPr>
          <w:rFonts w:cstheme="minorHAnsi"/>
          <w:sz w:val="21"/>
          <w:szCs w:val="21"/>
        </w:rPr>
        <w:tab/>
        <w:t xml:space="preserve">In </w:t>
      </w:r>
      <w:proofErr w:type="spellStart"/>
      <w:r w:rsidRPr="003307B3">
        <w:rPr>
          <w:rFonts w:cstheme="minorHAnsi"/>
          <w:sz w:val="21"/>
          <w:szCs w:val="21"/>
          <w:u w:val="single"/>
        </w:rPr>
        <w:t>Monell</w:t>
      </w:r>
      <w:proofErr w:type="spellEnd"/>
      <w:r w:rsidRPr="003307B3">
        <w:rPr>
          <w:rFonts w:cstheme="minorHAnsi"/>
          <w:sz w:val="21"/>
          <w:szCs w:val="21"/>
        </w:rPr>
        <w:t>, female employees of the Department of Social Services brought suit against New York City for forced maternity-leave employment practices.</w:t>
      </w:r>
      <w:r w:rsidR="003A5528" w:rsidRPr="003307B3">
        <w:rPr>
          <w:rFonts w:cstheme="minorHAnsi"/>
          <w:sz w:val="21"/>
          <w:szCs w:val="21"/>
        </w:rPr>
        <w:t xml:space="preserve"> </w:t>
      </w:r>
      <w:proofErr w:type="gramStart"/>
      <w:r w:rsidR="003A5528" w:rsidRPr="003307B3">
        <w:rPr>
          <w:rFonts w:cstheme="minorHAnsi"/>
          <w:sz w:val="21"/>
          <w:szCs w:val="21"/>
        </w:rPr>
        <w:t>436 U.S. at 658.</w:t>
      </w:r>
      <w:proofErr w:type="gramEnd"/>
      <w:r w:rsidRPr="003307B3">
        <w:rPr>
          <w:rFonts w:cstheme="minorHAnsi"/>
          <w:sz w:val="21"/>
          <w:szCs w:val="21"/>
        </w:rPr>
        <w:t xml:space="preserve"> Prior to this decision, it was common practice for municipal departments to require their female employees to take unpaid maternity leave, even when not medically necessary. </w:t>
      </w:r>
      <w:r w:rsidR="003A5528" w:rsidRPr="003307B3">
        <w:rPr>
          <w:rFonts w:cstheme="minorHAnsi"/>
          <w:sz w:val="21"/>
          <w:szCs w:val="21"/>
          <w:u w:val="single"/>
        </w:rPr>
        <w:t>Id</w:t>
      </w:r>
      <w:r w:rsidR="003A5528" w:rsidRPr="003307B3">
        <w:rPr>
          <w:rFonts w:cstheme="minorHAnsi"/>
          <w:sz w:val="21"/>
          <w:szCs w:val="21"/>
        </w:rPr>
        <w:t xml:space="preserve">. </w:t>
      </w:r>
      <w:r w:rsidRPr="003307B3">
        <w:rPr>
          <w:rFonts w:cstheme="minorHAnsi"/>
          <w:sz w:val="21"/>
          <w:szCs w:val="21"/>
        </w:rPr>
        <w:t xml:space="preserve">The court ruled that under §1983 the plaintiffs could bring </w:t>
      </w:r>
      <w:r w:rsidR="00DD35FC" w:rsidRPr="003307B3">
        <w:rPr>
          <w:rFonts w:cstheme="minorHAnsi"/>
          <w:sz w:val="21"/>
          <w:szCs w:val="21"/>
        </w:rPr>
        <w:t xml:space="preserve">a </w:t>
      </w:r>
      <w:r w:rsidRPr="003307B3">
        <w:rPr>
          <w:rFonts w:cstheme="minorHAnsi"/>
          <w:sz w:val="21"/>
          <w:szCs w:val="21"/>
        </w:rPr>
        <w:t xml:space="preserve">suit against the municipality directly, on behalf of their agents. </w:t>
      </w:r>
      <w:proofErr w:type="gramStart"/>
      <w:r w:rsidR="003A5528" w:rsidRPr="003307B3">
        <w:rPr>
          <w:rFonts w:cstheme="minorHAnsi"/>
          <w:sz w:val="21"/>
          <w:szCs w:val="21"/>
          <w:u w:val="single"/>
        </w:rPr>
        <w:t>Id.</w:t>
      </w:r>
      <w:r w:rsidR="003A5528" w:rsidRPr="003307B3">
        <w:rPr>
          <w:rFonts w:cstheme="minorHAnsi"/>
          <w:sz w:val="21"/>
          <w:szCs w:val="21"/>
        </w:rPr>
        <w:t xml:space="preserve"> at 659.</w:t>
      </w:r>
      <w:proofErr w:type="gramEnd"/>
      <w:r w:rsidR="003A5528" w:rsidRPr="003307B3">
        <w:rPr>
          <w:rFonts w:cstheme="minorHAnsi"/>
          <w:sz w:val="21"/>
          <w:szCs w:val="21"/>
        </w:rPr>
        <w:t xml:space="preserve"> </w:t>
      </w:r>
      <w:r w:rsidRPr="003307B3">
        <w:rPr>
          <w:rFonts w:cstheme="minorHAnsi"/>
          <w:sz w:val="21"/>
          <w:szCs w:val="21"/>
        </w:rPr>
        <w:t>The court ruled that for the purposes of this type of claim of deprivation of a civil right, governmental bodies and their employees may be considered “persons”.</w:t>
      </w:r>
      <w:r w:rsidR="003A5528" w:rsidRPr="003307B3">
        <w:rPr>
          <w:rFonts w:cstheme="minorHAnsi"/>
          <w:sz w:val="21"/>
          <w:szCs w:val="21"/>
        </w:rPr>
        <w:t xml:space="preserve"> </w:t>
      </w:r>
      <w:proofErr w:type="gramStart"/>
      <w:r w:rsidR="003A5528" w:rsidRPr="003307B3">
        <w:rPr>
          <w:rFonts w:cstheme="minorHAnsi"/>
          <w:sz w:val="21"/>
          <w:szCs w:val="21"/>
          <w:u w:val="single"/>
        </w:rPr>
        <w:t>Id.</w:t>
      </w:r>
      <w:r w:rsidR="003A5528" w:rsidRPr="003307B3">
        <w:rPr>
          <w:rFonts w:cstheme="minorHAnsi"/>
          <w:sz w:val="21"/>
          <w:szCs w:val="21"/>
        </w:rPr>
        <w:t xml:space="preserve"> at 660.</w:t>
      </w:r>
      <w:proofErr w:type="gramEnd"/>
      <w:r w:rsidRPr="003307B3">
        <w:rPr>
          <w:rFonts w:cstheme="minorHAnsi"/>
          <w:sz w:val="21"/>
          <w:szCs w:val="21"/>
        </w:rPr>
        <w:t xml:space="preserve"> In </w:t>
      </w:r>
      <w:r w:rsidRPr="003307B3">
        <w:rPr>
          <w:rFonts w:cstheme="minorHAnsi"/>
          <w:sz w:val="21"/>
          <w:szCs w:val="21"/>
          <w:u w:val="single"/>
        </w:rPr>
        <w:t>Tuttle</w:t>
      </w:r>
      <w:r w:rsidR="00F42D66" w:rsidRPr="003307B3">
        <w:rPr>
          <w:rFonts w:cstheme="minorHAnsi"/>
          <w:sz w:val="21"/>
          <w:szCs w:val="21"/>
        </w:rPr>
        <w:t>, the C</w:t>
      </w:r>
      <w:r w:rsidRPr="003307B3">
        <w:rPr>
          <w:rFonts w:cstheme="minorHAnsi"/>
          <w:sz w:val="21"/>
          <w:szCs w:val="21"/>
        </w:rPr>
        <w:t>ourt ruled that deliberate action, or action resultant from given policy were required to make a civil rights claim under §1983.</w:t>
      </w:r>
      <w:r w:rsidR="007D0839" w:rsidRPr="003307B3">
        <w:rPr>
          <w:rFonts w:cstheme="minorHAnsi"/>
          <w:sz w:val="21"/>
          <w:szCs w:val="21"/>
        </w:rPr>
        <w:t xml:space="preserve"> </w:t>
      </w:r>
      <w:proofErr w:type="gramStart"/>
      <w:r w:rsidR="007D0839" w:rsidRPr="003307B3">
        <w:rPr>
          <w:rFonts w:cstheme="minorHAnsi"/>
          <w:sz w:val="21"/>
          <w:szCs w:val="21"/>
        </w:rPr>
        <w:t>471 U.S. at 812.</w:t>
      </w:r>
      <w:proofErr w:type="gramEnd"/>
      <w:r w:rsidRPr="003307B3">
        <w:rPr>
          <w:rFonts w:cstheme="minorHAnsi"/>
          <w:sz w:val="21"/>
          <w:szCs w:val="21"/>
        </w:rPr>
        <w:t xml:space="preserve"> The widow of a man shot and killed by police brought </w:t>
      </w:r>
      <w:r w:rsidR="00DD35FC" w:rsidRPr="003307B3">
        <w:rPr>
          <w:rFonts w:cstheme="minorHAnsi"/>
          <w:sz w:val="21"/>
          <w:szCs w:val="21"/>
        </w:rPr>
        <w:t xml:space="preserve">a </w:t>
      </w:r>
      <w:r w:rsidRPr="003307B3">
        <w:rPr>
          <w:rFonts w:cstheme="minorHAnsi"/>
          <w:sz w:val="21"/>
          <w:szCs w:val="21"/>
        </w:rPr>
        <w:t>suit against the department, claiming that the action of the officer in question deprived her husband of his constitutionally protected rights.</w:t>
      </w:r>
      <w:r w:rsidR="007D0839" w:rsidRPr="003307B3">
        <w:rPr>
          <w:rFonts w:cstheme="minorHAnsi"/>
          <w:sz w:val="21"/>
          <w:szCs w:val="21"/>
        </w:rPr>
        <w:t xml:space="preserve"> </w:t>
      </w:r>
      <w:r w:rsidR="007D0839" w:rsidRPr="003307B3">
        <w:rPr>
          <w:rFonts w:cstheme="minorHAnsi"/>
          <w:sz w:val="21"/>
          <w:szCs w:val="21"/>
          <w:u w:val="single"/>
        </w:rPr>
        <w:t>Id.</w:t>
      </w:r>
      <w:r w:rsidRPr="003307B3">
        <w:rPr>
          <w:rFonts w:cstheme="minorHAnsi"/>
          <w:sz w:val="21"/>
          <w:szCs w:val="21"/>
        </w:rPr>
        <w:t xml:space="preserve"> The court held that, as the actions of the officer were an isolated incident of excessive force and not the result of the department’s training</w:t>
      </w:r>
      <w:r w:rsidR="00DD35FC" w:rsidRPr="003307B3">
        <w:rPr>
          <w:rFonts w:cstheme="minorHAnsi"/>
          <w:sz w:val="21"/>
          <w:szCs w:val="21"/>
        </w:rPr>
        <w:t>,</w:t>
      </w:r>
      <w:r w:rsidRPr="003307B3">
        <w:rPr>
          <w:rFonts w:cstheme="minorHAnsi"/>
          <w:sz w:val="21"/>
          <w:szCs w:val="21"/>
        </w:rPr>
        <w:t xml:space="preserve"> the suit did not have any standing.</w:t>
      </w:r>
      <w:r w:rsidR="007D0839" w:rsidRPr="003307B3">
        <w:rPr>
          <w:rFonts w:cstheme="minorHAnsi"/>
          <w:sz w:val="21"/>
          <w:szCs w:val="21"/>
        </w:rPr>
        <w:t xml:space="preserve"> </w:t>
      </w:r>
      <w:proofErr w:type="gramStart"/>
      <w:r w:rsidR="007D0839" w:rsidRPr="003307B3">
        <w:rPr>
          <w:rFonts w:cstheme="minorHAnsi"/>
          <w:sz w:val="21"/>
          <w:szCs w:val="21"/>
          <w:u w:val="single"/>
        </w:rPr>
        <w:t>Id.</w:t>
      </w:r>
      <w:r w:rsidR="007D0839" w:rsidRPr="003307B3">
        <w:rPr>
          <w:rFonts w:cstheme="minorHAnsi"/>
          <w:sz w:val="21"/>
          <w:szCs w:val="21"/>
        </w:rPr>
        <w:t xml:space="preserve"> at 814.</w:t>
      </w:r>
      <w:proofErr w:type="gramEnd"/>
      <w:r w:rsidRPr="003307B3">
        <w:rPr>
          <w:rFonts w:cstheme="minorHAnsi"/>
          <w:sz w:val="21"/>
          <w:szCs w:val="21"/>
        </w:rPr>
        <w:t xml:space="preserve"> The </w:t>
      </w:r>
      <w:r w:rsidR="00F42D66" w:rsidRPr="003307B3">
        <w:rPr>
          <w:rFonts w:cstheme="minorHAnsi"/>
          <w:sz w:val="21"/>
          <w:szCs w:val="21"/>
        </w:rPr>
        <w:t>Court</w:t>
      </w:r>
      <w:r w:rsidRPr="003307B3">
        <w:rPr>
          <w:rFonts w:cstheme="minorHAnsi"/>
          <w:sz w:val="21"/>
          <w:szCs w:val="21"/>
        </w:rPr>
        <w:t xml:space="preserve"> held that the acts of the offending officer were not deliberately intended to deprive the decedent of a civil right, and so the plaintiff could not recover.</w:t>
      </w:r>
      <w:r w:rsidR="007D0839" w:rsidRPr="003307B3">
        <w:rPr>
          <w:rFonts w:cstheme="minorHAnsi"/>
          <w:sz w:val="21"/>
          <w:szCs w:val="21"/>
        </w:rPr>
        <w:t xml:space="preserve"> </w:t>
      </w:r>
      <w:r w:rsidR="007D0839" w:rsidRPr="003307B3">
        <w:rPr>
          <w:rFonts w:cstheme="minorHAnsi"/>
          <w:sz w:val="21"/>
          <w:szCs w:val="21"/>
          <w:u w:val="single"/>
        </w:rPr>
        <w:t>Id.</w:t>
      </w:r>
      <w:r w:rsidRPr="003307B3">
        <w:rPr>
          <w:rFonts w:cstheme="minorHAnsi"/>
          <w:sz w:val="21"/>
          <w:szCs w:val="21"/>
        </w:rPr>
        <w:t xml:space="preserve"> In </w:t>
      </w:r>
      <w:proofErr w:type="spellStart"/>
      <w:r w:rsidRPr="003307B3">
        <w:rPr>
          <w:rFonts w:cstheme="minorHAnsi"/>
          <w:sz w:val="21"/>
          <w:szCs w:val="21"/>
          <w:u w:val="single"/>
        </w:rPr>
        <w:t>Thiboutot</w:t>
      </w:r>
      <w:proofErr w:type="spellEnd"/>
      <w:r w:rsidRPr="003307B3">
        <w:rPr>
          <w:rFonts w:cstheme="minorHAnsi"/>
          <w:sz w:val="21"/>
          <w:szCs w:val="21"/>
        </w:rPr>
        <w:t xml:space="preserve">, the </w:t>
      </w:r>
      <w:r w:rsidR="00F42D66" w:rsidRPr="003307B3">
        <w:rPr>
          <w:rFonts w:cstheme="minorHAnsi"/>
          <w:sz w:val="21"/>
          <w:szCs w:val="21"/>
        </w:rPr>
        <w:t>Court</w:t>
      </w:r>
      <w:r w:rsidRPr="003307B3">
        <w:rPr>
          <w:rFonts w:cstheme="minorHAnsi"/>
          <w:sz w:val="21"/>
          <w:szCs w:val="21"/>
        </w:rPr>
        <w:t xml:space="preserve"> held that §1983 created a cause of action for deprivations under the color of state law of any statutory right.</w:t>
      </w:r>
      <w:r w:rsidR="000C511A" w:rsidRPr="003307B3">
        <w:rPr>
          <w:rFonts w:cstheme="minorHAnsi"/>
          <w:sz w:val="21"/>
          <w:szCs w:val="21"/>
        </w:rPr>
        <w:t xml:space="preserve"> </w:t>
      </w:r>
      <w:proofErr w:type="gramStart"/>
      <w:r w:rsidR="000C511A" w:rsidRPr="003307B3">
        <w:rPr>
          <w:rFonts w:cstheme="minorHAnsi"/>
          <w:sz w:val="21"/>
          <w:szCs w:val="21"/>
        </w:rPr>
        <w:t>448 U.S. at 6.</w:t>
      </w:r>
      <w:proofErr w:type="gramEnd"/>
      <w:r w:rsidRPr="003307B3">
        <w:rPr>
          <w:rFonts w:cstheme="minorHAnsi"/>
          <w:sz w:val="21"/>
          <w:szCs w:val="21"/>
        </w:rPr>
        <w:t xml:space="preserve"> The plaintiff if this case was the father by marriage of eight children, but only the biological father of three. </w:t>
      </w:r>
      <w:proofErr w:type="gramStart"/>
      <w:r w:rsidR="000C511A" w:rsidRPr="003307B3">
        <w:rPr>
          <w:rFonts w:cstheme="minorHAnsi"/>
          <w:sz w:val="21"/>
          <w:szCs w:val="21"/>
          <w:u w:val="single"/>
        </w:rPr>
        <w:t>Id.</w:t>
      </w:r>
      <w:r w:rsidR="000C511A" w:rsidRPr="003307B3">
        <w:rPr>
          <w:rFonts w:cstheme="minorHAnsi"/>
          <w:sz w:val="21"/>
          <w:szCs w:val="21"/>
        </w:rPr>
        <w:t xml:space="preserve"> at 4.</w:t>
      </w:r>
      <w:proofErr w:type="gramEnd"/>
      <w:r w:rsidR="000C511A" w:rsidRPr="003307B3">
        <w:rPr>
          <w:rFonts w:cstheme="minorHAnsi"/>
          <w:sz w:val="21"/>
          <w:szCs w:val="21"/>
        </w:rPr>
        <w:t xml:space="preserve"> </w:t>
      </w:r>
      <w:r w:rsidRPr="003307B3">
        <w:rPr>
          <w:rFonts w:cstheme="minorHAnsi"/>
          <w:sz w:val="21"/>
          <w:szCs w:val="21"/>
        </w:rPr>
        <w:t>The Maine Department of Human Services informed the plaintiff that he would only be able to receive government assistance for the three children he was the biological father of, although he was legally responsible financially for the care of all eight.</w:t>
      </w:r>
      <w:r w:rsidR="000C511A" w:rsidRPr="003307B3">
        <w:rPr>
          <w:rFonts w:cstheme="minorHAnsi"/>
          <w:sz w:val="21"/>
          <w:szCs w:val="21"/>
        </w:rPr>
        <w:t xml:space="preserve"> </w:t>
      </w:r>
      <w:r w:rsidR="000C511A" w:rsidRPr="003307B3">
        <w:rPr>
          <w:rFonts w:cstheme="minorHAnsi"/>
          <w:sz w:val="21"/>
          <w:szCs w:val="21"/>
          <w:u w:val="single"/>
        </w:rPr>
        <w:t>Id.</w:t>
      </w:r>
      <w:r w:rsidRPr="003307B3">
        <w:rPr>
          <w:rFonts w:cstheme="minorHAnsi"/>
          <w:sz w:val="21"/>
          <w:szCs w:val="21"/>
        </w:rPr>
        <w:t xml:space="preserve"> The </w:t>
      </w:r>
      <w:r w:rsidR="00F42D66" w:rsidRPr="003307B3">
        <w:rPr>
          <w:rFonts w:cstheme="minorHAnsi"/>
          <w:sz w:val="21"/>
          <w:szCs w:val="21"/>
        </w:rPr>
        <w:t>Court</w:t>
      </w:r>
      <w:r w:rsidRPr="003307B3">
        <w:rPr>
          <w:rFonts w:cstheme="minorHAnsi"/>
          <w:sz w:val="21"/>
          <w:szCs w:val="21"/>
        </w:rPr>
        <w:t xml:space="preserve"> held that </w:t>
      </w:r>
      <w:proofErr w:type="spellStart"/>
      <w:r w:rsidRPr="003307B3">
        <w:rPr>
          <w:rFonts w:cstheme="minorHAnsi"/>
          <w:sz w:val="21"/>
          <w:szCs w:val="21"/>
        </w:rPr>
        <w:t>Thiboutot’s</w:t>
      </w:r>
      <w:proofErr w:type="spellEnd"/>
      <w:r w:rsidRPr="003307B3">
        <w:rPr>
          <w:rFonts w:cstheme="minorHAnsi"/>
          <w:sz w:val="21"/>
          <w:szCs w:val="21"/>
        </w:rPr>
        <w:t xml:space="preserve"> civil rights had been violated under the Social Security Act, and therefore he had a cause of action for recovery.</w:t>
      </w:r>
      <w:r w:rsidR="000C511A" w:rsidRPr="003307B3">
        <w:rPr>
          <w:rFonts w:cstheme="minorHAnsi"/>
          <w:sz w:val="21"/>
          <w:szCs w:val="21"/>
        </w:rPr>
        <w:t xml:space="preserve"> </w:t>
      </w:r>
      <w:proofErr w:type="gramStart"/>
      <w:r w:rsidR="000C511A" w:rsidRPr="003307B3">
        <w:rPr>
          <w:rFonts w:cstheme="minorHAnsi"/>
          <w:sz w:val="21"/>
          <w:szCs w:val="21"/>
          <w:u w:val="single"/>
        </w:rPr>
        <w:t>Id.</w:t>
      </w:r>
      <w:r w:rsidR="000C511A" w:rsidRPr="003307B3">
        <w:rPr>
          <w:rFonts w:cstheme="minorHAnsi"/>
          <w:sz w:val="21"/>
          <w:szCs w:val="21"/>
        </w:rPr>
        <w:t xml:space="preserve"> at 7.</w:t>
      </w:r>
      <w:proofErr w:type="gramEnd"/>
    </w:p>
    <w:p w:rsidR="00D03D30" w:rsidRPr="003307B3" w:rsidRDefault="00DF011D" w:rsidP="00C2066F">
      <w:pPr>
        <w:spacing w:after="0" w:line="480" w:lineRule="auto"/>
        <w:rPr>
          <w:rFonts w:cstheme="minorHAnsi"/>
          <w:sz w:val="21"/>
          <w:szCs w:val="21"/>
        </w:rPr>
      </w:pPr>
      <w:r w:rsidRPr="003307B3">
        <w:rPr>
          <w:rFonts w:cstheme="minorHAnsi"/>
          <w:sz w:val="21"/>
          <w:szCs w:val="21"/>
        </w:rPr>
        <w:tab/>
      </w:r>
      <w:r w:rsidR="00D03D30" w:rsidRPr="003307B3">
        <w:rPr>
          <w:rFonts w:cstheme="minorHAnsi"/>
          <w:sz w:val="21"/>
          <w:szCs w:val="21"/>
        </w:rPr>
        <w:t xml:space="preserve">In </w:t>
      </w:r>
      <w:r w:rsidR="00D03D30" w:rsidRPr="003307B3">
        <w:rPr>
          <w:rFonts w:cstheme="minorHAnsi"/>
          <w:sz w:val="21"/>
          <w:szCs w:val="21"/>
          <w:u w:val="single"/>
        </w:rPr>
        <w:t>Dodd</w:t>
      </w:r>
      <w:r w:rsidR="00D03D30" w:rsidRPr="003307B3">
        <w:rPr>
          <w:rFonts w:cstheme="minorHAnsi"/>
          <w:sz w:val="21"/>
          <w:szCs w:val="21"/>
        </w:rPr>
        <w:t xml:space="preserve">, the court ruled that a biological father’s liberty interest of companionship is </w:t>
      </w:r>
      <w:r w:rsidR="00F42D66" w:rsidRPr="003307B3">
        <w:rPr>
          <w:rFonts w:cstheme="minorHAnsi"/>
          <w:sz w:val="21"/>
          <w:szCs w:val="21"/>
        </w:rPr>
        <w:t>not protected under the C</w:t>
      </w:r>
      <w:r w:rsidR="00D03D30" w:rsidRPr="003307B3">
        <w:rPr>
          <w:rFonts w:cstheme="minorHAnsi"/>
          <w:sz w:val="21"/>
          <w:szCs w:val="21"/>
        </w:rPr>
        <w:t>onstitution.</w:t>
      </w:r>
      <w:r w:rsidR="00F01D14" w:rsidRPr="003307B3">
        <w:rPr>
          <w:rFonts w:cstheme="minorHAnsi"/>
          <w:sz w:val="21"/>
          <w:szCs w:val="21"/>
        </w:rPr>
        <w:t xml:space="preserve"> </w:t>
      </w:r>
      <w:proofErr w:type="gramStart"/>
      <w:r w:rsidR="00F01D14" w:rsidRPr="003307B3">
        <w:rPr>
          <w:rFonts w:cstheme="minorHAnsi"/>
          <w:sz w:val="21"/>
          <w:szCs w:val="21"/>
        </w:rPr>
        <w:t>352 F.3d at 826.</w:t>
      </w:r>
      <w:proofErr w:type="gramEnd"/>
      <w:r w:rsidR="00D03D30" w:rsidRPr="003307B3">
        <w:rPr>
          <w:rFonts w:cstheme="minorHAnsi"/>
          <w:sz w:val="21"/>
          <w:szCs w:val="21"/>
        </w:rPr>
        <w:t xml:space="preserve"> In this case the plaintiff’s independent adult son was shot and killed by police. </w:t>
      </w:r>
      <w:proofErr w:type="gramStart"/>
      <w:r w:rsidR="00F01D14" w:rsidRPr="003307B3">
        <w:rPr>
          <w:rFonts w:cstheme="minorHAnsi"/>
          <w:sz w:val="21"/>
          <w:szCs w:val="21"/>
          <w:u w:val="single"/>
        </w:rPr>
        <w:t>Id.</w:t>
      </w:r>
      <w:r w:rsidR="00F01D14" w:rsidRPr="003307B3">
        <w:rPr>
          <w:rFonts w:cstheme="minorHAnsi"/>
          <w:sz w:val="21"/>
          <w:szCs w:val="21"/>
        </w:rPr>
        <w:t xml:space="preserve"> at 824.</w:t>
      </w:r>
      <w:proofErr w:type="gramEnd"/>
      <w:r w:rsidR="00F01D14" w:rsidRPr="003307B3">
        <w:rPr>
          <w:rFonts w:cstheme="minorHAnsi"/>
          <w:sz w:val="21"/>
          <w:szCs w:val="21"/>
        </w:rPr>
        <w:t xml:space="preserve"> </w:t>
      </w:r>
      <w:r w:rsidR="00D03D30" w:rsidRPr="003307B3">
        <w:rPr>
          <w:rFonts w:cstheme="minorHAnsi"/>
          <w:sz w:val="21"/>
          <w:szCs w:val="21"/>
        </w:rPr>
        <w:t xml:space="preserve">The father made the claim that his parental right to companionship from his son was a </w:t>
      </w:r>
      <w:r w:rsidR="00D03D30" w:rsidRPr="003307B3">
        <w:rPr>
          <w:rFonts w:cstheme="minorHAnsi"/>
          <w:sz w:val="21"/>
          <w:szCs w:val="21"/>
        </w:rPr>
        <w:lastRenderedPageBreak/>
        <w:t>protected liberty interest.</w:t>
      </w:r>
      <w:r w:rsidR="00F01D14" w:rsidRPr="003307B3">
        <w:rPr>
          <w:rFonts w:cstheme="minorHAnsi"/>
          <w:sz w:val="21"/>
          <w:szCs w:val="21"/>
        </w:rPr>
        <w:t xml:space="preserve"> </w:t>
      </w:r>
      <w:r w:rsidR="00F01D14" w:rsidRPr="003307B3">
        <w:rPr>
          <w:rFonts w:cstheme="minorHAnsi"/>
          <w:sz w:val="21"/>
          <w:szCs w:val="21"/>
          <w:u w:val="single"/>
        </w:rPr>
        <w:t>Id.</w:t>
      </w:r>
      <w:r w:rsidR="00D03D30" w:rsidRPr="003307B3">
        <w:rPr>
          <w:rFonts w:cstheme="minorHAnsi"/>
          <w:sz w:val="21"/>
          <w:szCs w:val="21"/>
        </w:rPr>
        <w:t xml:space="preserve"> The court used a strict scrutiny standard of review, holding that the interest in question was an </w:t>
      </w:r>
      <w:proofErr w:type="spellStart"/>
      <w:r w:rsidR="00D03D30" w:rsidRPr="003307B3">
        <w:rPr>
          <w:rFonts w:cstheme="minorHAnsi"/>
          <w:sz w:val="21"/>
          <w:szCs w:val="21"/>
        </w:rPr>
        <w:t>unenumerated</w:t>
      </w:r>
      <w:proofErr w:type="spellEnd"/>
      <w:r w:rsidR="00D03D30" w:rsidRPr="003307B3">
        <w:rPr>
          <w:rFonts w:cstheme="minorHAnsi"/>
          <w:sz w:val="21"/>
          <w:szCs w:val="21"/>
        </w:rPr>
        <w:t xml:space="preserve"> constitutional right; although recognized as significant and fundamental, the court refused to extend parental liberty interests beyond those pertaining to minor children.</w:t>
      </w:r>
      <w:r w:rsidR="00F01D14" w:rsidRPr="003307B3">
        <w:rPr>
          <w:rFonts w:cstheme="minorHAnsi"/>
          <w:sz w:val="21"/>
          <w:szCs w:val="21"/>
        </w:rPr>
        <w:t xml:space="preserve"> </w:t>
      </w:r>
      <w:proofErr w:type="gramStart"/>
      <w:r w:rsidR="00F01D14" w:rsidRPr="003307B3">
        <w:rPr>
          <w:rFonts w:cstheme="minorHAnsi"/>
          <w:sz w:val="21"/>
          <w:szCs w:val="21"/>
          <w:u w:val="single"/>
        </w:rPr>
        <w:t>Id.</w:t>
      </w:r>
      <w:r w:rsidR="00F01D14" w:rsidRPr="003307B3">
        <w:rPr>
          <w:rFonts w:cstheme="minorHAnsi"/>
          <w:sz w:val="21"/>
          <w:szCs w:val="21"/>
        </w:rPr>
        <w:t xml:space="preserve"> at 827.</w:t>
      </w:r>
      <w:proofErr w:type="gramEnd"/>
      <w:r w:rsidR="00D03D30" w:rsidRPr="003307B3">
        <w:rPr>
          <w:rFonts w:cstheme="minorHAnsi"/>
          <w:sz w:val="21"/>
          <w:szCs w:val="21"/>
        </w:rPr>
        <w:t xml:space="preserve"> In </w:t>
      </w:r>
      <w:r w:rsidR="00D03D30" w:rsidRPr="003307B3">
        <w:rPr>
          <w:rFonts w:cstheme="minorHAnsi"/>
          <w:sz w:val="21"/>
          <w:szCs w:val="21"/>
          <w:u w:val="single"/>
        </w:rPr>
        <w:t>Russ</w:t>
      </w:r>
      <w:r w:rsidR="00D03D30" w:rsidRPr="003307B3">
        <w:rPr>
          <w:rFonts w:cstheme="minorHAnsi"/>
          <w:sz w:val="21"/>
          <w:szCs w:val="21"/>
        </w:rPr>
        <w:t>, the</w:t>
      </w:r>
      <w:r w:rsidR="00E129AC" w:rsidRPr="003307B3">
        <w:rPr>
          <w:rFonts w:cstheme="minorHAnsi"/>
          <w:sz w:val="21"/>
          <w:szCs w:val="21"/>
        </w:rPr>
        <w:t xml:space="preserve"> court</w:t>
      </w:r>
      <w:r w:rsidR="00D03D30" w:rsidRPr="003307B3">
        <w:rPr>
          <w:rFonts w:cstheme="minorHAnsi"/>
          <w:sz w:val="21"/>
          <w:szCs w:val="21"/>
        </w:rPr>
        <w:t xml:space="preserve"> held that deliberate intent to deprive protection liberty interests was not required to recover under §1983.</w:t>
      </w:r>
      <w:r w:rsidR="00EF394D" w:rsidRPr="003307B3">
        <w:rPr>
          <w:rFonts w:cstheme="minorHAnsi"/>
          <w:sz w:val="21"/>
          <w:szCs w:val="21"/>
        </w:rPr>
        <w:t xml:space="preserve"> </w:t>
      </w:r>
      <w:proofErr w:type="gramStart"/>
      <w:r w:rsidR="00EF394D" w:rsidRPr="003307B3">
        <w:rPr>
          <w:rFonts w:cstheme="minorHAnsi"/>
          <w:sz w:val="21"/>
          <w:szCs w:val="21"/>
        </w:rPr>
        <w:t>414 F.3d at 786.</w:t>
      </w:r>
      <w:proofErr w:type="gramEnd"/>
      <w:r w:rsidR="00D03D30" w:rsidRPr="003307B3">
        <w:rPr>
          <w:rFonts w:cstheme="minorHAnsi"/>
          <w:sz w:val="21"/>
          <w:szCs w:val="21"/>
        </w:rPr>
        <w:t xml:space="preserve"> This suit was brought after the plaintiff’s son was shot and killed by police. The court ruled that a constitutional right to recover for loss of companionship existed from an incidental action of the </w:t>
      </w:r>
      <w:r w:rsidR="00ED2DFC" w:rsidRPr="003307B3">
        <w:rPr>
          <w:rFonts w:cstheme="minorHAnsi"/>
          <w:sz w:val="21"/>
          <w:szCs w:val="21"/>
        </w:rPr>
        <w:t>State</w:t>
      </w:r>
      <w:r w:rsidR="00D03D30" w:rsidRPr="003307B3">
        <w:rPr>
          <w:rFonts w:cstheme="minorHAnsi"/>
          <w:sz w:val="21"/>
          <w:szCs w:val="21"/>
        </w:rPr>
        <w:t>.</w:t>
      </w:r>
      <w:r w:rsidR="00EF394D" w:rsidRPr="003307B3">
        <w:rPr>
          <w:rFonts w:cstheme="minorHAnsi"/>
          <w:sz w:val="21"/>
          <w:szCs w:val="21"/>
        </w:rPr>
        <w:t xml:space="preserve"> </w:t>
      </w:r>
      <w:r w:rsidR="00EF394D" w:rsidRPr="003307B3">
        <w:rPr>
          <w:rFonts w:cstheme="minorHAnsi"/>
          <w:sz w:val="21"/>
          <w:szCs w:val="21"/>
          <w:u w:val="single"/>
        </w:rPr>
        <w:t>Id.</w:t>
      </w:r>
      <w:r w:rsidR="00D03D30" w:rsidRPr="003307B3">
        <w:rPr>
          <w:rFonts w:cstheme="minorHAnsi"/>
          <w:sz w:val="21"/>
          <w:szCs w:val="21"/>
        </w:rPr>
        <w:t xml:space="preserve"> The court held that the interest in recovery hinged on the quality of the familial relationship, and should not be precluded by procedural interests (e.g.: age, independence or intent of the acting party). </w:t>
      </w:r>
      <w:proofErr w:type="gramStart"/>
      <w:r w:rsidR="00EF394D" w:rsidRPr="003307B3">
        <w:rPr>
          <w:rFonts w:cstheme="minorHAnsi"/>
          <w:sz w:val="21"/>
          <w:szCs w:val="21"/>
        </w:rPr>
        <w:t>414 F.3d at 788.</w:t>
      </w:r>
      <w:proofErr w:type="gramEnd"/>
      <w:r w:rsidR="00EF394D" w:rsidRPr="003307B3">
        <w:rPr>
          <w:rFonts w:cstheme="minorHAnsi"/>
          <w:sz w:val="21"/>
          <w:szCs w:val="21"/>
        </w:rPr>
        <w:t xml:space="preserve"> </w:t>
      </w:r>
      <w:r w:rsidR="00D03D30" w:rsidRPr="003307B3">
        <w:rPr>
          <w:rFonts w:cstheme="minorHAnsi"/>
          <w:sz w:val="21"/>
          <w:szCs w:val="21"/>
        </w:rPr>
        <w:t xml:space="preserve">In </w:t>
      </w:r>
      <w:r w:rsidR="00D03D30" w:rsidRPr="003307B3">
        <w:rPr>
          <w:rFonts w:cstheme="minorHAnsi"/>
          <w:sz w:val="21"/>
          <w:szCs w:val="21"/>
          <w:u w:val="single"/>
        </w:rPr>
        <w:t>Pleasant</w:t>
      </w:r>
      <w:r w:rsidR="00D03D30" w:rsidRPr="003307B3">
        <w:rPr>
          <w:rFonts w:cstheme="minorHAnsi"/>
          <w:sz w:val="21"/>
          <w:szCs w:val="21"/>
        </w:rPr>
        <w:t>, the court held that a husband, but not a child, may recover for loss of companionship of his wife during a period where she was incapacitated.</w:t>
      </w:r>
      <w:r w:rsidR="0006022A" w:rsidRPr="003307B3">
        <w:rPr>
          <w:rFonts w:cstheme="minorHAnsi"/>
          <w:sz w:val="21"/>
          <w:szCs w:val="21"/>
        </w:rPr>
        <w:t xml:space="preserve"> </w:t>
      </w:r>
      <w:proofErr w:type="gramStart"/>
      <w:r w:rsidR="0006022A" w:rsidRPr="003307B3">
        <w:rPr>
          <w:rFonts w:cstheme="minorHAnsi"/>
          <w:sz w:val="21"/>
          <w:szCs w:val="21"/>
        </w:rPr>
        <w:t>262 F.2d at 472.</w:t>
      </w:r>
      <w:proofErr w:type="gramEnd"/>
      <w:r w:rsidR="00D03D30" w:rsidRPr="003307B3">
        <w:rPr>
          <w:rFonts w:cstheme="minorHAnsi"/>
          <w:sz w:val="21"/>
          <w:szCs w:val="21"/>
        </w:rPr>
        <w:t xml:space="preserve"> In this case the court focused on the legal ground of marriage which created the husband’s cause of action for loss of companionship.</w:t>
      </w:r>
      <w:r w:rsidR="0006022A" w:rsidRPr="003307B3">
        <w:rPr>
          <w:rFonts w:cstheme="minorHAnsi"/>
          <w:sz w:val="21"/>
          <w:szCs w:val="21"/>
        </w:rPr>
        <w:t xml:space="preserve"> </w:t>
      </w:r>
      <w:r w:rsidR="0006022A" w:rsidRPr="003307B3">
        <w:rPr>
          <w:rFonts w:cstheme="minorHAnsi"/>
          <w:sz w:val="21"/>
          <w:szCs w:val="21"/>
          <w:u w:val="single"/>
        </w:rPr>
        <w:t>Id.</w:t>
      </w:r>
      <w:r w:rsidR="00D03D30" w:rsidRPr="003307B3">
        <w:rPr>
          <w:rFonts w:cstheme="minorHAnsi"/>
          <w:sz w:val="21"/>
          <w:szCs w:val="21"/>
        </w:rPr>
        <w:t xml:space="preserve"> The child, not being in a legally bound relationship, would not have a similar right to recover for loss of companionship from his mother during her incapacitation.</w:t>
      </w:r>
      <w:r w:rsidR="0006022A" w:rsidRPr="003307B3">
        <w:rPr>
          <w:rFonts w:cstheme="minorHAnsi"/>
          <w:sz w:val="21"/>
          <w:szCs w:val="21"/>
        </w:rPr>
        <w:t xml:space="preserve"> </w:t>
      </w:r>
      <w:proofErr w:type="gramStart"/>
      <w:r w:rsidR="0006022A" w:rsidRPr="003307B3">
        <w:rPr>
          <w:rFonts w:cstheme="minorHAnsi"/>
          <w:sz w:val="21"/>
          <w:szCs w:val="21"/>
          <w:u w:val="single"/>
        </w:rPr>
        <w:t>Id.</w:t>
      </w:r>
      <w:r w:rsidR="0006022A" w:rsidRPr="003307B3">
        <w:rPr>
          <w:rFonts w:cstheme="minorHAnsi"/>
          <w:sz w:val="21"/>
          <w:szCs w:val="21"/>
        </w:rPr>
        <w:t xml:space="preserve"> at 473.</w:t>
      </w:r>
      <w:proofErr w:type="gramEnd"/>
      <w:r w:rsidR="00D03D30" w:rsidRPr="003307B3">
        <w:rPr>
          <w:rFonts w:cstheme="minorHAnsi"/>
          <w:sz w:val="21"/>
          <w:szCs w:val="21"/>
        </w:rPr>
        <w:t xml:space="preserve"> In </w:t>
      </w:r>
      <w:proofErr w:type="spellStart"/>
      <w:r w:rsidR="00D03D30" w:rsidRPr="003307B3">
        <w:rPr>
          <w:rFonts w:cstheme="minorHAnsi"/>
          <w:sz w:val="21"/>
          <w:szCs w:val="21"/>
          <w:u w:val="single"/>
        </w:rPr>
        <w:t>Vogler</w:t>
      </w:r>
      <w:proofErr w:type="spellEnd"/>
      <w:r w:rsidR="00D03D30" w:rsidRPr="003307B3">
        <w:rPr>
          <w:rFonts w:cstheme="minorHAnsi"/>
          <w:sz w:val="21"/>
          <w:szCs w:val="21"/>
        </w:rPr>
        <w:t>, the court held that both husband and child had comparable right to recovery for loss of companionship due to the death of the plaintiff’s wife and daughter.</w:t>
      </w:r>
      <w:r w:rsidR="0006022A" w:rsidRPr="003307B3">
        <w:rPr>
          <w:rFonts w:cstheme="minorHAnsi"/>
          <w:sz w:val="21"/>
          <w:szCs w:val="21"/>
        </w:rPr>
        <w:t xml:space="preserve"> </w:t>
      </w:r>
      <w:proofErr w:type="gramStart"/>
      <w:r w:rsidR="0006022A" w:rsidRPr="003307B3">
        <w:rPr>
          <w:rFonts w:cstheme="minorHAnsi"/>
          <w:sz w:val="21"/>
          <w:szCs w:val="21"/>
        </w:rPr>
        <w:t>352 F.3d at 154.</w:t>
      </w:r>
      <w:proofErr w:type="gramEnd"/>
      <w:r w:rsidR="00D03D30" w:rsidRPr="003307B3">
        <w:rPr>
          <w:rFonts w:cstheme="minorHAnsi"/>
          <w:sz w:val="21"/>
          <w:szCs w:val="21"/>
        </w:rPr>
        <w:t xml:space="preserve"> In this case the decedents had perished in an auto acciden</w:t>
      </w:r>
      <w:r w:rsidR="00811FCD" w:rsidRPr="003307B3">
        <w:rPr>
          <w:rFonts w:cstheme="minorHAnsi"/>
          <w:sz w:val="21"/>
          <w:szCs w:val="21"/>
        </w:rPr>
        <w:t>t, and suit was brought by her</w:t>
      </w:r>
      <w:r w:rsidR="00D03D30" w:rsidRPr="003307B3">
        <w:rPr>
          <w:rFonts w:cstheme="minorHAnsi"/>
          <w:sz w:val="21"/>
          <w:szCs w:val="21"/>
        </w:rPr>
        <w:t xml:space="preserve"> husband and children from the mother’s first marriage.</w:t>
      </w:r>
      <w:r w:rsidR="0006022A" w:rsidRPr="003307B3">
        <w:rPr>
          <w:rFonts w:cstheme="minorHAnsi"/>
          <w:sz w:val="21"/>
          <w:szCs w:val="21"/>
        </w:rPr>
        <w:t xml:space="preserve"> </w:t>
      </w:r>
      <w:proofErr w:type="gramStart"/>
      <w:r w:rsidR="0006022A" w:rsidRPr="003307B3">
        <w:rPr>
          <w:rFonts w:cstheme="minorHAnsi"/>
          <w:sz w:val="21"/>
          <w:szCs w:val="21"/>
        </w:rPr>
        <w:t>352 F.3d at 152.</w:t>
      </w:r>
      <w:proofErr w:type="gramEnd"/>
      <w:r w:rsidR="00D03D30" w:rsidRPr="003307B3">
        <w:rPr>
          <w:rFonts w:cstheme="minorHAnsi"/>
          <w:sz w:val="21"/>
          <w:szCs w:val="21"/>
        </w:rPr>
        <w:t xml:space="preserve"> The court held that it was the nature of the relationship which created the right of recovery, and should not be precluded by the lack of a legal relationship on the part of the children. </w:t>
      </w:r>
      <w:proofErr w:type="gramStart"/>
      <w:r w:rsidR="0006022A" w:rsidRPr="003307B3">
        <w:rPr>
          <w:rFonts w:cstheme="minorHAnsi"/>
          <w:sz w:val="21"/>
          <w:szCs w:val="21"/>
        </w:rPr>
        <w:t>352 F.3d at 155.</w:t>
      </w:r>
      <w:proofErr w:type="gramEnd"/>
      <w:r w:rsidR="00D03D30" w:rsidRPr="003307B3">
        <w:rPr>
          <w:rFonts w:cstheme="minorHAnsi"/>
          <w:sz w:val="21"/>
          <w:szCs w:val="21"/>
        </w:rPr>
        <w:t xml:space="preserve"> In </w:t>
      </w:r>
      <w:r w:rsidR="00D03D30" w:rsidRPr="003307B3">
        <w:rPr>
          <w:rFonts w:cstheme="minorHAnsi"/>
          <w:sz w:val="21"/>
          <w:szCs w:val="21"/>
          <w:u w:val="single"/>
        </w:rPr>
        <w:t>Bradley</w:t>
      </w:r>
      <w:r w:rsidR="00D03D30" w:rsidRPr="003307B3">
        <w:rPr>
          <w:rFonts w:cstheme="minorHAnsi"/>
          <w:sz w:val="21"/>
          <w:szCs w:val="21"/>
        </w:rPr>
        <w:t>, the court held that</w:t>
      </w:r>
      <w:r w:rsidR="00DD35FC" w:rsidRPr="003307B3">
        <w:rPr>
          <w:rFonts w:cstheme="minorHAnsi"/>
          <w:sz w:val="21"/>
          <w:szCs w:val="21"/>
        </w:rPr>
        <w:t xml:space="preserve"> a child had</w:t>
      </w:r>
      <w:r w:rsidR="00D03D30" w:rsidRPr="003307B3">
        <w:rPr>
          <w:rFonts w:cstheme="minorHAnsi"/>
          <w:sz w:val="21"/>
          <w:szCs w:val="21"/>
        </w:rPr>
        <w:t xml:space="preserve"> a recoverable right to recover for the loss of parental companionship.</w:t>
      </w:r>
      <w:r w:rsidR="00F36D22" w:rsidRPr="003307B3">
        <w:rPr>
          <w:rFonts w:cstheme="minorHAnsi"/>
          <w:sz w:val="21"/>
          <w:szCs w:val="21"/>
        </w:rPr>
        <w:t xml:space="preserve"> </w:t>
      </w:r>
      <w:proofErr w:type="gramStart"/>
      <w:r w:rsidR="00F36D22" w:rsidRPr="003307B3">
        <w:rPr>
          <w:rFonts w:cstheme="minorHAnsi"/>
          <w:sz w:val="21"/>
          <w:szCs w:val="21"/>
        </w:rPr>
        <w:t>621 F.3d at 1333.</w:t>
      </w:r>
      <w:proofErr w:type="gramEnd"/>
      <w:r w:rsidR="00D03D30" w:rsidRPr="003307B3">
        <w:rPr>
          <w:rFonts w:cstheme="minorHAnsi"/>
          <w:sz w:val="21"/>
          <w:szCs w:val="21"/>
        </w:rPr>
        <w:t xml:space="preserve"> In this case the plaintiff’s father had been the victim of neglect and abuse while in a Florida nursing home. </w:t>
      </w:r>
      <w:proofErr w:type="gramStart"/>
      <w:r w:rsidR="00811FCD" w:rsidRPr="003307B3">
        <w:rPr>
          <w:rFonts w:cstheme="minorHAnsi"/>
          <w:sz w:val="21"/>
          <w:szCs w:val="21"/>
          <w:u w:val="single"/>
        </w:rPr>
        <w:t>Id.</w:t>
      </w:r>
      <w:r w:rsidR="00811FCD" w:rsidRPr="003307B3">
        <w:rPr>
          <w:rFonts w:cstheme="minorHAnsi"/>
          <w:sz w:val="21"/>
          <w:szCs w:val="21"/>
        </w:rPr>
        <w:t xml:space="preserve"> at 1331.</w:t>
      </w:r>
      <w:proofErr w:type="gramEnd"/>
      <w:r w:rsidR="00811FCD" w:rsidRPr="003307B3">
        <w:rPr>
          <w:rFonts w:cstheme="minorHAnsi"/>
          <w:sz w:val="21"/>
          <w:szCs w:val="21"/>
        </w:rPr>
        <w:t xml:space="preserve"> </w:t>
      </w:r>
      <w:r w:rsidR="00D03D30" w:rsidRPr="003307B3">
        <w:rPr>
          <w:rFonts w:cstheme="minorHAnsi"/>
          <w:sz w:val="21"/>
          <w:szCs w:val="21"/>
        </w:rPr>
        <w:t>The court ruled that, as a property interest, surviving children (regardless of age) may recover for loss of companionship under the Florida Wrongful Death Act.</w:t>
      </w:r>
      <w:r w:rsidR="00811FCD" w:rsidRPr="003307B3">
        <w:rPr>
          <w:rFonts w:cstheme="minorHAnsi"/>
          <w:sz w:val="21"/>
          <w:szCs w:val="21"/>
        </w:rPr>
        <w:t xml:space="preserve"> </w:t>
      </w:r>
      <w:r w:rsidR="00811FCD" w:rsidRPr="003307B3">
        <w:rPr>
          <w:rFonts w:cstheme="minorHAnsi"/>
          <w:sz w:val="21"/>
          <w:szCs w:val="21"/>
          <w:u w:val="single"/>
        </w:rPr>
        <w:t>Id.</w:t>
      </w:r>
      <w:r w:rsidR="00D03D30" w:rsidRPr="003307B3">
        <w:rPr>
          <w:rFonts w:cstheme="minorHAnsi"/>
          <w:sz w:val="21"/>
          <w:szCs w:val="21"/>
        </w:rPr>
        <w:t xml:space="preserve"> The court held that the companionship interest was the property of the person or persons who incurred the loss. The right of recovery is created by the loss, herein borne by t</w:t>
      </w:r>
      <w:r w:rsidR="00811FCD" w:rsidRPr="003307B3">
        <w:rPr>
          <w:rFonts w:cstheme="minorHAnsi"/>
          <w:sz w:val="21"/>
          <w:szCs w:val="21"/>
        </w:rPr>
        <w:t xml:space="preserve">he decedents’ loved ones. </w:t>
      </w:r>
      <w:proofErr w:type="gramStart"/>
      <w:r w:rsidR="00811FCD" w:rsidRPr="003307B3">
        <w:rPr>
          <w:rFonts w:cstheme="minorHAnsi"/>
          <w:sz w:val="21"/>
          <w:szCs w:val="21"/>
          <w:u w:val="single"/>
        </w:rPr>
        <w:t>Id.</w:t>
      </w:r>
      <w:r w:rsidR="00811FCD" w:rsidRPr="003307B3">
        <w:rPr>
          <w:rFonts w:cstheme="minorHAnsi"/>
          <w:sz w:val="21"/>
          <w:szCs w:val="21"/>
        </w:rPr>
        <w:t xml:space="preserve"> at 1337.</w:t>
      </w:r>
      <w:proofErr w:type="gramEnd"/>
    </w:p>
    <w:p w:rsidR="009404BC" w:rsidRPr="003307B3" w:rsidRDefault="009404BC" w:rsidP="00C2066F">
      <w:pPr>
        <w:spacing w:after="0" w:line="480" w:lineRule="auto"/>
        <w:rPr>
          <w:rFonts w:cstheme="minorHAnsi"/>
          <w:sz w:val="21"/>
          <w:szCs w:val="21"/>
        </w:rPr>
      </w:pPr>
      <w:r w:rsidRPr="003307B3">
        <w:rPr>
          <w:rFonts w:cstheme="minorHAnsi"/>
          <w:sz w:val="21"/>
          <w:szCs w:val="21"/>
        </w:rPr>
        <w:tab/>
        <w:t xml:space="preserve">Mary Smith will be able to successfully bring a suit against the State of Euphoria for deprivation of a civil right, and will be able to recover for the loss of her aunt’s companionship. As in </w:t>
      </w:r>
      <w:proofErr w:type="spellStart"/>
      <w:r w:rsidRPr="003307B3">
        <w:rPr>
          <w:rFonts w:cstheme="minorHAnsi"/>
          <w:sz w:val="21"/>
          <w:szCs w:val="21"/>
          <w:u w:val="single"/>
        </w:rPr>
        <w:t>Monell</w:t>
      </w:r>
      <w:proofErr w:type="spellEnd"/>
      <w:r w:rsidRPr="003307B3">
        <w:rPr>
          <w:rFonts w:cstheme="minorHAnsi"/>
          <w:sz w:val="21"/>
          <w:szCs w:val="21"/>
        </w:rPr>
        <w:t xml:space="preserve">, Mary will be able </w:t>
      </w:r>
      <w:r w:rsidRPr="003307B3">
        <w:rPr>
          <w:rFonts w:cstheme="minorHAnsi"/>
          <w:sz w:val="21"/>
          <w:szCs w:val="21"/>
        </w:rPr>
        <w:lastRenderedPageBreak/>
        <w:t>to show that Ronald was acting under the color of Euphoria state law while conducting his duties at the facility.</w:t>
      </w:r>
      <w:r w:rsidR="003A5528" w:rsidRPr="003307B3">
        <w:rPr>
          <w:rFonts w:cstheme="minorHAnsi"/>
          <w:sz w:val="21"/>
          <w:szCs w:val="21"/>
        </w:rPr>
        <w:t xml:space="preserve"> </w:t>
      </w:r>
      <w:proofErr w:type="gramStart"/>
      <w:r w:rsidR="003A5528" w:rsidRPr="003307B3">
        <w:rPr>
          <w:rFonts w:cstheme="minorHAnsi"/>
          <w:sz w:val="21"/>
          <w:szCs w:val="21"/>
        </w:rPr>
        <w:t>436 U.S. at 658.</w:t>
      </w:r>
      <w:proofErr w:type="gramEnd"/>
      <w:r w:rsidRPr="003307B3">
        <w:rPr>
          <w:rFonts w:cstheme="minorHAnsi"/>
          <w:sz w:val="21"/>
          <w:szCs w:val="21"/>
        </w:rPr>
        <w:t xml:space="preserve"> Unlike </w:t>
      </w:r>
      <w:r w:rsidRPr="003307B3">
        <w:rPr>
          <w:rFonts w:cstheme="minorHAnsi"/>
          <w:sz w:val="21"/>
          <w:szCs w:val="21"/>
          <w:u w:val="single"/>
        </w:rPr>
        <w:t>Tuttle</w:t>
      </w:r>
      <w:r w:rsidRPr="003307B3">
        <w:rPr>
          <w:rFonts w:cstheme="minorHAnsi"/>
          <w:sz w:val="21"/>
          <w:szCs w:val="21"/>
        </w:rPr>
        <w:t xml:space="preserve"> though, Mary can point to the deliberateness of Ronald’s actions in failing to treat Bess specifically to harm Mary out of his knowledge of their relationship.</w:t>
      </w:r>
      <w:r w:rsidR="007D0839" w:rsidRPr="003307B3">
        <w:rPr>
          <w:rFonts w:cstheme="minorHAnsi"/>
          <w:sz w:val="21"/>
          <w:szCs w:val="21"/>
        </w:rPr>
        <w:t xml:space="preserve"> </w:t>
      </w:r>
      <w:proofErr w:type="gramStart"/>
      <w:r w:rsidR="007D0839" w:rsidRPr="003307B3">
        <w:rPr>
          <w:rFonts w:cstheme="minorHAnsi"/>
          <w:sz w:val="21"/>
          <w:szCs w:val="21"/>
        </w:rPr>
        <w:t>471 U.S. at 812.</w:t>
      </w:r>
      <w:proofErr w:type="gramEnd"/>
      <w:r w:rsidRPr="003307B3">
        <w:rPr>
          <w:rFonts w:cstheme="minorHAnsi"/>
          <w:sz w:val="21"/>
          <w:szCs w:val="21"/>
        </w:rPr>
        <w:t xml:space="preserve"> However, given the court’s ruling in </w:t>
      </w:r>
      <w:r w:rsidRPr="003307B3">
        <w:rPr>
          <w:rFonts w:cstheme="minorHAnsi"/>
          <w:sz w:val="21"/>
          <w:szCs w:val="21"/>
          <w:u w:val="single"/>
        </w:rPr>
        <w:t>Russ</w:t>
      </w:r>
      <w:r w:rsidRPr="003307B3">
        <w:rPr>
          <w:rFonts w:cstheme="minorHAnsi"/>
          <w:sz w:val="21"/>
          <w:szCs w:val="21"/>
        </w:rPr>
        <w:t>, even if Ronald’s motives and inten</w:t>
      </w:r>
      <w:r w:rsidR="00E705C2" w:rsidRPr="003307B3">
        <w:rPr>
          <w:rFonts w:cstheme="minorHAnsi"/>
          <w:sz w:val="21"/>
          <w:szCs w:val="21"/>
        </w:rPr>
        <w:t>t are in question his actions and</w:t>
      </w:r>
      <w:r w:rsidRPr="003307B3">
        <w:rPr>
          <w:rFonts w:cstheme="minorHAnsi"/>
          <w:sz w:val="21"/>
          <w:szCs w:val="21"/>
        </w:rPr>
        <w:t xml:space="preserve"> the resulting deprivation of Mary’s liberty i</w:t>
      </w:r>
      <w:r w:rsidR="00E705C2" w:rsidRPr="003307B3">
        <w:rPr>
          <w:rFonts w:cstheme="minorHAnsi"/>
          <w:sz w:val="21"/>
          <w:szCs w:val="21"/>
        </w:rPr>
        <w:t>nterest in her aunt are not;</w:t>
      </w:r>
      <w:r w:rsidRPr="003307B3">
        <w:rPr>
          <w:rFonts w:cstheme="minorHAnsi"/>
          <w:sz w:val="21"/>
          <w:szCs w:val="21"/>
        </w:rPr>
        <w:t xml:space="preserve"> intent is not required for a cause of action.</w:t>
      </w:r>
      <w:r w:rsidR="00EF394D" w:rsidRPr="003307B3">
        <w:rPr>
          <w:rFonts w:cstheme="minorHAnsi"/>
          <w:sz w:val="21"/>
          <w:szCs w:val="21"/>
        </w:rPr>
        <w:t xml:space="preserve"> </w:t>
      </w:r>
      <w:proofErr w:type="gramStart"/>
      <w:r w:rsidR="00EF394D" w:rsidRPr="003307B3">
        <w:rPr>
          <w:rFonts w:cstheme="minorHAnsi"/>
          <w:sz w:val="21"/>
          <w:szCs w:val="21"/>
        </w:rPr>
        <w:t>414 F.3d at 786.</w:t>
      </w:r>
      <w:proofErr w:type="gramEnd"/>
      <w:r w:rsidRPr="003307B3">
        <w:rPr>
          <w:rFonts w:cstheme="minorHAnsi"/>
          <w:sz w:val="21"/>
          <w:szCs w:val="21"/>
        </w:rPr>
        <w:t xml:space="preserve"> Mary will be able to show that his actions directly caused Bess to deteriorate, and deprived Mary of the companionship she could have reasonably expected in Bess’ remaining months; as in </w:t>
      </w:r>
      <w:proofErr w:type="spellStart"/>
      <w:r w:rsidRPr="003307B3">
        <w:rPr>
          <w:rFonts w:cstheme="minorHAnsi"/>
          <w:sz w:val="21"/>
          <w:szCs w:val="21"/>
          <w:u w:val="single"/>
        </w:rPr>
        <w:t>Thiboutot</w:t>
      </w:r>
      <w:proofErr w:type="spellEnd"/>
      <w:r w:rsidRPr="003307B3">
        <w:rPr>
          <w:rFonts w:cstheme="minorHAnsi"/>
          <w:sz w:val="21"/>
          <w:szCs w:val="21"/>
        </w:rPr>
        <w:t xml:space="preserve">, the </w:t>
      </w:r>
      <w:r w:rsidR="00ED2DFC" w:rsidRPr="003307B3">
        <w:rPr>
          <w:rFonts w:cstheme="minorHAnsi"/>
          <w:sz w:val="21"/>
          <w:szCs w:val="21"/>
        </w:rPr>
        <w:t>State</w:t>
      </w:r>
      <w:r w:rsidRPr="003307B3">
        <w:rPr>
          <w:rFonts w:cstheme="minorHAnsi"/>
          <w:sz w:val="21"/>
          <w:szCs w:val="21"/>
        </w:rPr>
        <w:t>’s actions will create Mary’s cause of action under §1983.</w:t>
      </w:r>
      <w:r w:rsidR="000C511A" w:rsidRPr="003307B3">
        <w:rPr>
          <w:rFonts w:cstheme="minorHAnsi"/>
          <w:sz w:val="21"/>
          <w:szCs w:val="21"/>
        </w:rPr>
        <w:t xml:space="preserve"> </w:t>
      </w:r>
      <w:proofErr w:type="gramStart"/>
      <w:r w:rsidR="000C511A" w:rsidRPr="003307B3">
        <w:rPr>
          <w:rFonts w:cstheme="minorHAnsi"/>
          <w:sz w:val="21"/>
          <w:szCs w:val="21"/>
        </w:rPr>
        <w:t>448 U.S. at 6.</w:t>
      </w:r>
      <w:proofErr w:type="gramEnd"/>
    </w:p>
    <w:p w:rsidR="00DF011D" w:rsidRPr="003307B3" w:rsidRDefault="009404BC" w:rsidP="00C2066F">
      <w:pPr>
        <w:spacing w:after="0" w:line="480" w:lineRule="auto"/>
        <w:rPr>
          <w:rFonts w:cstheme="minorHAnsi"/>
          <w:sz w:val="21"/>
          <w:szCs w:val="21"/>
        </w:rPr>
      </w:pPr>
      <w:r w:rsidRPr="003307B3">
        <w:rPr>
          <w:rFonts w:cstheme="minorHAnsi"/>
          <w:sz w:val="21"/>
          <w:szCs w:val="21"/>
        </w:rPr>
        <w:tab/>
        <w:t xml:space="preserve">Mary will also be able to show her right to recover. As in </w:t>
      </w:r>
      <w:proofErr w:type="spellStart"/>
      <w:r w:rsidRPr="003307B3">
        <w:rPr>
          <w:rFonts w:cstheme="minorHAnsi"/>
          <w:sz w:val="21"/>
          <w:szCs w:val="21"/>
          <w:u w:val="single"/>
        </w:rPr>
        <w:t>Vogler</w:t>
      </w:r>
      <w:proofErr w:type="spellEnd"/>
      <w:r w:rsidRPr="003307B3">
        <w:rPr>
          <w:rFonts w:cstheme="minorHAnsi"/>
          <w:sz w:val="21"/>
          <w:szCs w:val="21"/>
        </w:rPr>
        <w:t>, the court will take into account the totality of Mary’s relationship with Bess.</w:t>
      </w:r>
      <w:r w:rsidR="0006022A" w:rsidRPr="003307B3">
        <w:rPr>
          <w:rFonts w:cstheme="minorHAnsi"/>
          <w:sz w:val="21"/>
          <w:szCs w:val="21"/>
        </w:rPr>
        <w:t xml:space="preserve"> </w:t>
      </w:r>
      <w:proofErr w:type="gramStart"/>
      <w:r w:rsidR="0006022A" w:rsidRPr="003307B3">
        <w:rPr>
          <w:rFonts w:cstheme="minorHAnsi"/>
          <w:sz w:val="21"/>
          <w:szCs w:val="21"/>
        </w:rPr>
        <w:t>352 F.3d at 155.</w:t>
      </w:r>
      <w:proofErr w:type="gramEnd"/>
      <w:r w:rsidR="0006022A" w:rsidRPr="003307B3">
        <w:rPr>
          <w:rFonts w:cstheme="minorHAnsi"/>
          <w:sz w:val="21"/>
          <w:szCs w:val="21"/>
        </w:rPr>
        <w:t xml:space="preserve"> </w:t>
      </w:r>
      <w:r w:rsidR="00A23A76" w:rsidRPr="003307B3">
        <w:rPr>
          <w:rFonts w:cstheme="minorHAnsi"/>
          <w:sz w:val="21"/>
          <w:szCs w:val="21"/>
        </w:rPr>
        <w:t xml:space="preserve"> Bess’</w:t>
      </w:r>
      <w:r w:rsidRPr="003307B3">
        <w:rPr>
          <w:rFonts w:cstheme="minorHAnsi"/>
          <w:sz w:val="21"/>
          <w:szCs w:val="21"/>
        </w:rPr>
        <w:t xml:space="preserve"> dependency </w:t>
      </w:r>
      <w:r w:rsidR="00A23A76" w:rsidRPr="003307B3">
        <w:rPr>
          <w:rFonts w:cstheme="minorHAnsi"/>
          <w:sz w:val="21"/>
          <w:szCs w:val="21"/>
        </w:rPr>
        <w:t>on Mary</w:t>
      </w:r>
      <w:r w:rsidR="00E705C2" w:rsidRPr="003307B3">
        <w:rPr>
          <w:rFonts w:cstheme="minorHAnsi"/>
          <w:sz w:val="21"/>
          <w:szCs w:val="21"/>
        </w:rPr>
        <w:t xml:space="preserve"> as a</w:t>
      </w:r>
      <w:r w:rsidR="00A23A76" w:rsidRPr="003307B3">
        <w:rPr>
          <w:rFonts w:cstheme="minorHAnsi"/>
          <w:sz w:val="21"/>
          <w:szCs w:val="21"/>
        </w:rPr>
        <w:t xml:space="preserve"> pseudo-parent</w:t>
      </w:r>
      <w:r w:rsidR="00E705C2" w:rsidRPr="003307B3">
        <w:rPr>
          <w:rFonts w:cstheme="minorHAnsi"/>
          <w:sz w:val="21"/>
          <w:szCs w:val="21"/>
        </w:rPr>
        <w:t>, and</w:t>
      </w:r>
      <w:r w:rsidRPr="003307B3">
        <w:rPr>
          <w:rFonts w:cstheme="minorHAnsi"/>
          <w:sz w:val="21"/>
          <w:szCs w:val="21"/>
        </w:rPr>
        <w:t xml:space="preserve"> the emotional attachment shown in Mary’s frequent visits to the facility, show the familial interest between the two.</w:t>
      </w:r>
      <w:r w:rsidR="00E705C2" w:rsidRPr="003307B3">
        <w:rPr>
          <w:rFonts w:cstheme="minorHAnsi"/>
          <w:sz w:val="21"/>
          <w:szCs w:val="21"/>
        </w:rPr>
        <w:t xml:space="preserve"> </w:t>
      </w:r>
      <w:r w:rsidR="00E705C2" w:rsidRPr="003307B3">
        <w:rPr>
          <w:rFonts w:cstheme="minorHAnsi"/>
          <w:sz w:val="21"/>
          <w:szCs w:val="21"/>
          <w:u w:val="single"/>
        </w:rPr>
        <w:t>Id.</w:t>
      </w:r>
      <w:r w:rsidRPr="003307B3">
        <w:rPr>
          <w:rFonts w:cstheme="minorHAnsi"/>
          <w:sz w:val="21"/>
          <w:szCs w:val="21"/>
        </w:rPr>
        <w:t xml:space="preserve"> </w:t>
      </w:r>
      <w:proofErr w:type="gramStart"/>
      <w:r w:rsidRPr="003307B3">
        <w:rPr>
          <w:rFonts w:cstheme="minorHAnsi"/>
          <w:sz w:val="21"/>
          <w:szCs w:val="21"/>
        </w:rPr>
        <w:t>Beyond</w:t>
      </w:r>
      <w:proofErr w:type="gramEnd"/>
      <w:r w:rsidRPr="003307B3">
        <w:rPr>
          <w:rFonts w:cstheme="minorHAnsi"/>
          <w:sz w:val="21"/>
          <w:szCs w:val="21"/>
        </w:rPr>
        <w:t xml:space="preserve"> Mary’s blood relationship, the court will also acknowledge the reverse-parental right that Mary has over Bess; unlike in </w:t>
      </w:r>
      <w:r w:rsidRPr="003307B3">
        <w:rPr>
          <w:rFonts w:cstheme="minorHAnsi"/>
          <w:sz w:val="21"/>
          <w:szCs w:val="21"/>
          <w:u w:val="single"/>
        </w:rPr>
        <w:t>Dodd</w:t>
      </w:r>
      <w:r w:rsidRPr="003307B3">
        <w:rPr>
          <w:rFonts w:cstheme="minorHAnsi"/>
          <w:sz w:val="21"/>
          <w:szCs w:val="21"/>
        </w:rPr>
        <w:t xml:space="preserve">, Mary </w:t>
      </w:r>
      <w:r w:rsidR="00E705C2" w:rsidRPr="003307B3">
        <w:rPr>
          <w:rFonts w:cstheme="minorHAnsi"/>
          <w:sz w:val="21"/>
          <w:szCs w:val="21"/>
        </w:rPr>
        <w:t>has been legally responsible for</w:t>
      </w:r>
      <w:r w:rsidRPr="003307B3">
        <w:rPr>
          <w:rFonts w:cstheme="minorHAnsi"/>
          <w:sz w:val="21"/>
          <w:szCs w:val="21"/>
        </w:rPr>
        <w:t xml:space="preserve"> making decisions for Bess since she began to decline, and that right of decision making </w:t>
      </w:r>
      <w:r w:rsidR="00E705C2" w:rsidRPr="003307B3">
        <w:rPr>
          <w:rFonts w:cstheme="minorHAnsi"/>
          <w:sz w:val="21"/>
          <w:szCs w:val="21"/>
        </w:rPr>
        <w:t xml:space="preserve">of a loved one </w:t>
      </w:r>
      <w:r w:rsidRPr="003307B3">
        <w:rPr>
          <w:rFonts w:cstheme="minorHAnsi"/>
          <w:sz w:val="21"/>
          <w:szCs w:val="21"/>
        </w:rPr>
        <w:t>is protected.</w:t>
      </w:r>
      <w:r w:rsidR="00F01D14" w:rsidRPr="003307B3">
        <w:rPr>
          <w:rFonts w:cstheme="minorHAnsi"/>
          <w:sz w:val="21"/>
          <w:szCs w:val="21"/>
        </w:rPr>
        <w:t xml:space="preserve"> </w:t>
      </w:r>
      <w:proofErr w:type="gramStart"/>
      <w:r w:rsidR="00F01D14" w:rsidRPr="003307B3">
        <w:rPr>
          <w:rFonts w:cstheme="minorHAnsi"/>
          <w:sz w:val="21"/>
          <w:szCs w:val="21"/>
        </w:rPr>
        <w:t>352 F.3d at 8267.</w:t>
      </w:r>
      <w:proofErr w:type="gramEnd"/>
      <w:r w:rsidRPr="003307B3">
        <w:rPr>
          <w:rFonts w:cstheme="minorHAnsi"/>
          <w:sz w:val="21"/>
          <w:szCs w:val="21"/>
        </w:rPr>
        <w:t xml:space="preserve"> However, unlike in </w:t>
      </w:r>
      <w:r w:rsidRPr="003307B3">
        <w:rPr>
          <w:rFonts w:cstheme="minorHAnsi"/>
          <w:sz w:val="21"/>
          <w:szCs w:val="21"/>
          <w:u w:val="single"/>
        </w:rPr>
        <w:t>Pleasant</w:t>
      </w:r>
      <w:r w:rsidRPr="003307B3">
        <w:rPr>
          <w:rFonts w:cstheme="minorHAnsi"/>
          <w:sz w:val="21"/>
          <w:szCs w:val="21"/>
        </w:rPr>
        <w:t xml:space="preserve">, Mary will be able to show that she also had a protected interest in the companionship she shared with Bess, and as in </w:t>
      </w:r>
      <w:r w:rsidRPr="003307B3">
        <w:rPr>
          <w:rFonts w:cstheme="minorHAnsi"/>
          <w:sz w:val="21"/>
          <w:szCs w:val="21"/>
          <w:u w:val="single"/>
        </w:rPr>
        <w:t>Bradley</w:t>
      </w:r>
      <w:r w:rsidRPr="003307B3">
        <w:rPr>
          <w:rFonts w:cstheme="minorHAnsi"/>
          <w:sz w:val="21"/>
          <w:szCs w:val="21"/>
        </w:rPr>
        <w:t xml:space="preserve">, will recover for its loss. </w:t>
      </w:r>
      <w:proofErr w:type="gramStart"/>
      <w:r w:rsidR="0006022A" w:rsidRPr="003307B3">
        <w:rPr>
          <w:rFonts w:cstheme="minorHAnsi"/>
          <w:sz w:val="21"/>
          <w:szCs w:val="21"/>
        </w:rPr>
        <w:t xml:space="preserve">262 F.2d at 472; </w:t>
      </w:r>
      <w:r w:rsidR="00F36D22" w:rsidRPr="003307B3">
        <w:rPr>
          <w:rFonts w:cstheme="minorHAnsi"/>
          <w:sz w:val="21"/>
          <w:szCs w:val="21"/>
        </w:rPr>
        <w:t>621 F.3d at 1333.</w:t>
      </w:r>
      <w:proofErr w:type="gramEnd"/>
      <w:r w:rsidR="00F36D22" w:rsidRPr="003307B3">
        <w:rPr>
          <w:rFonts w:cstheme="minorHAnsi"/>
          <w:sz w:val="21"/>
          <w:szCs w:val="21"/>
        </w:rPr>
        <w:t xml:space="preserve"> </w:t>
      </w:r>
      <w:r w:rsidRPr="003307B3">
        <w:rPr>
          <w:rFonts w:cstheme="minorHAnsi"/>
          <w:sz w:val="21"/>
          <w:szCs w:val="21"/>
        </w:rPr>
        <w:t xml:space="preserve">The court will quantify the value of the time they would have had, and award damages accordingly. However, unlike </w:t>
      </w:r>
      <w:r w:rsidRPr="003307B3">
        <w:rPr>
          <w:rFonts w:cstheme="minorHAnsi"/>
          <w:sz w:val="21"/>
          <w:szCs w:val="21"/>
          <w:u w:val="single"/>
        </w:rPr>
        <w:t>Russ</w:t>
      </w:r>
      <w:r w:rsidRPr="003307B3">
        <w:rPr>
          <w:rFonts w:cstheme="minorHAnsi"/>
          <w:sz w:val="21"/>
          <w:szCs w:val="21"/>
        </w:rPr>
        <w:t xml:space="preserve">, the awarding of damages for future companionship would be inappropriate due to Bess’ mental decline being unrelated to her death; the court will not allow Mary to recover for companionship that she factually could not receive. </w:t>
      </w:r>
      <w:proofErr w:type="gramStart"/>
      <w:r w:rsidR="00EF394D" w:rsidRPr="003307B3">
        <w:rPr>
          <w:rFonts w:cstheme="minorHAnsi"/>
          <w:sz w:val="21"/>
          <w:szCs w:val="21"/>
        </w:rPr>
        <w:t>414 F.3d at 789.</w:t>
      </w:r>
      <w:proofErr w:type="gramEnd"/>
    </w:p>
    <w:p w:rsidR="003F54EC" w:rsidRPr="003307B3" w:rsidRDefault="00FB6098" w:rsidP="00C2066F">
      <w:pPr>
        <w:spacing w:after="0" w:line="480" w:lineRule="auto"/>
        <w:rPr>
          <w:rFonts w:cstheme="minorHAnsi"/>
          <w:sz w:val="21"/>
          <w:szCs w:val="21"/>
        </w:rPr>
      </w:pPr>
      <w:r w:rsidRPr="003307B3">
        <w:rPr>
          <w:rFonts w:cstheme="minorHAnsi"/>
          <w:b/>
          <w:sz w:val="21"/>
          <w:szCs w:val="21"/>
        </w:rPr>
        <w:t>B.</w:t>
      </w:r>
      <w:r w:rsidR="004B47EF" w:rsidRPr="003307B3">
        <w:rPr>
          <w:rFonts w:cstheme="minorHAnsi"/>
          <w:b/>
          <w:sz w:val="21"/>
          <w:szCs w:val="21"/>
        </w:rPr>
        <w:tab/>
      </w:r>
      <w:r w:rsidR="0028745C" w:rsidRPr="003307B3">
        <w:rPr>
          <w:rFonts w:cstheme="minorHAnsi"/>
          <w:sz w:val="21"/>
          <w:szCs w:val="21"/>
        </w:rPr>
        <w:t>Under the</w:t>
      </w:r>
      <w:r w:rsidR="00811FCD" w:rsidRPr="003307B3">
        <w:rPr>
          <w:rFonts w:cstheme="minorHAnsi"/>
          <w:sz w:val="21"/>
          <w:szCs w:val="21"/>
        </w:rPr>
        <w:t xml:space="preserve"> Fourth</w:t>
      </w:r>
      <w:r w:rsidR="003F54EC" w:rsidRPr="003307B3">
        <w:rPr>
          <w:rFonts w:cstheme="minorHAnsi"/>
          <w:sz w:val="21"/>
          <w:szCs w:val="21"/>
        </w:rPr>
        <w:t xml:space="preserve"> </w:t>
      </w:r>
      <w:r w:rsidR="00811FCD" w:rsidRPr="003307B3">
        <w:rPr>
          <w:rFonts w:cstheme="minorHAnsi"/>
          <w:sz w:val="21"/>
          <w:szCs w:val="21"/>
        </w:rPr>
        <w:t>Amendment</w:t>
      </w:r>
      <w:r w:rsidR="003F54EC" w:rsidRPr="003307B3">
        <w:rPr>
          <w:rFonts w:cstheme="minorHAnsi"/>
          <w:sz w:val="21"/>
          <w:szCs w:val="21"/>
        </w:rPr>
        <w:t xml:space="preserve"> are protected against unreasonab</w:t>
      </w:r>
      <w:r w:rsidR="009A12EE" w:rsidRPr="003307B3">
        <w:rPr>
          <w:rFonts w:cstheme="minorHAnsi"/>
          <w:sz w:val="21"/>
          <w:szCs w:val="21"/>
        </w:rPr>
        <w:t xml:space="preserve">le searches and seizures. </w:t>
      </w:r>
      <w:proofErr w:type="gramStart"/>
      <w:r w:rsidR="009A12EE" w:rsidRPr="003307B3">
        <w:rPr>
          <w:rFonts w:cstheme="minorHAnsi"/>
          <w:sz w:val="21"/>
          <w:szCs w:val="21"/>
          <w:u w:val="single"/>
        </w:rPr>
        <w:t>Katz v. United States,</w:t>
      </w:r>
      <w:r w:rsidR="009A12EE" w:rsidRPr="003307B3">
        <w:rPr>
          <w:rFonts w:cstheme="minorHAnsi"/>
          <w:sz w:val="21"/>
          <w:szCs w:val="21"/>
        </w:rPr>
        <w:t xml:space="preserve"> 389 U.S. 347, 348</w:t>
      </w:r>
      <w:r w:rsidR="00E705C2" w:rsidRPr="003307B3">
        <w:rPr>
          <w:rFonts w:cstheme="minorHAnsi"/>
          <w:sz w:val="21"/>
          <w:szCs w:val="21"/>
        </w:rPr>
        <w:t xml:space="preserve"> (1967)</w:t>
      </w:r>
      <w:r w:rsidR="009A12EE" w:rsidRPr="003307B3">
        <w:rPr>
          <w:rFonts w:cstheme="minorHAnsi"/>
          <w:sz w:val="21"/>
          <w:szCs w:val="21"/>
        </w:rPr>
        <w:t>.</w:t>
      </w:r>
      <w:proofErr w:type="gramEnd"/>
      <w:r w:rsidR="003F54EC" w:rsidRPr="003307B3">
        <w:rPr>
          <w:rFonts w:cstheme="minorHAnsi"/>
          <w:sz w:val="21"/>
          <w:szCs w:val="21"/>
        </w:rPr>
        <w:t xml:space="preserve"> All warrantless searches are, </w:t>
      </w:r>
      <w:r w:rsidR="0028745C" w:rsidRPr="003307B3">
        <w:rPr>
          <w:rFonts w:cstheme="minorHAnsi"/>
          <w:sz w:val="21"/>
          <w:szCs w:val="21"/>
        </w:rPr>
        <w:t>presumed</w:t>
      </w:r>
      <w:r w:rsidR="00811FCD" w:rsidRPr="003307B3">
        <w:rPr>
          <w:rFonts w:cstheme="minorHAnsi"/>
          <w:sz w:val="21"/>
          <w:szCs w:val="21"/>
        </w:rPr>
        <w:t>, unreasonable due to an</w:t>
      </w:r>
      <w:r w:rsidR="003F54EC" w:rsidRPr="003307B3">
        <w:rPr>
          <w:rFonts w:cstheme="minorHAnsi"/>
          <w:sz w:val="21"/>
          <w:szCs w:val="21"/>
        </w:rPr>
        <w:t xml:space="preserve"> existence outs</w:t>
      </w:r>
      <w:r w:rsidR="009A12EE" w:rsidRPr="003307B3">
        <w:rPr>
          <w:rFonts w:cstheme="minorHAnsi"/>
          <w:sz w:val="21"/>
          <w:szCs w:val="21"/>
        </w:rPr>
        <w:t xml:space="preserve">ide the judicial process. </w:t>
      </w:r>
      <w:r w:rsidR="009A12EE" w:rsidRPr="003307B3">
        <w:rPr>
          <w:rFonts w:cstheme="minorHAnsi"/>
          <w:sz w:val="21"/>
          <w:szCs w:val="21"/>
          <w:u w:val="single"/>
        </w:rPr>
        <w:t>Id.</w:t>
      </w:r>
      <w:r w:rsidR="003F54EC" w:rsidRPr="003307B3">
        <w:rPr>
          <w:rFonts w:cstheme="minorHAnsi"/>
          <w:sz w:val="21"/>
          <w:szCs w:val="21"/>
        </w:rPr>
        <w:t xml:space="preserve"> The courts have several exceptions which do not require warrants, such as situations where a person has no privacy interest, has consented, or there is prior statutory ruling that a searc</w:t>
      </w:r>
      <w:r w:rsidR="008659DB" w:rsidRPr="003307B3">
        <w:rPr>
          <w:rFonts w:cstheme="minorHAnsi"/>
          <w:sz w:val="21"/>
          <w:szCs w:val="21"/>
        </w:rPr>
        <w:t xml:space="preserve">h is not unreasonable. </w:t>
      </w:r>
      <w:proofErr w:type="gramStart"/>
      <w:r w:rsidR="008659DB" w:rsidRPr="003307B3">
        <w:rPr>
          <w:rFonts w:cstheme="minorHAnsi"/>
          <w:sz w:val="21"/>
          <w:szCs w:val="21"/>
          <w:u w:val="single"/>
        </w:rPr>
        <w:t>Johnson v. United States</w:t>
      </w:r>
      <w:r w:rsidR="008659DB" w:rsidRPr="003307B3">
        <w:rPr>
          <w:rFonts w:cstheme="minorHAnsi"/>
          <w:sz w:val="21"/>
          <w:szCs w:val="21"/>
        </w:rPr>
        <w:t>, 333 U.S. 10, 13 (1948).</w:t>
      </w:r>
      <w:proofErr w:type="gramEnd"/>
      <w:r w:rsidR="003F54EC" w:rsidRPr="003307B3">
        <w:rPr>
          <w:rFonts w:cstheme="minorHAnsi"/>
          <w:sz w:val="21"/>
          <w:szCs w:val="21"/>
        </w:rPr>
        <w:t xml:space="preserve"> Evidence which does not qualify for an exception, and was gathered in a search without the use of a warrant may be inadmissible under the </w:t>
      </w:r>
      <w:r w:rsidR="003F54EC" w:rsidRPr="003307B3">
        <w:rPr>
          <w:rFonts w:cstheme="minorHAnsi"/>
          <w:sz w:val="21"/>
          <w:szCs w:val="21"/>
        </w:rPr>
        <w:lastRenderedPageBreak/>
        <w:t xml:space="preserve">exclusionary rule; evidence gathered in a manner which is deemed to have violated the defendant’s constitutional rights may be inadmissible in a court of law. </w:t>
      </w:r>
      <w:proofErr w:type="spellStart"/>
      <w:proofErr w:type="gramStart"/>
      <w:r w:rsidR="00465832" w:rsidRPr="003307B3">
        <w:rPr>
          <w:rFonts w:cstheme="minorHAnsi"/>
          <w:sz w:val="21"/>
          <w:szCs w:val="21"/>
          <w:u w:val="single"/>
        </w:rPr>
        <w:t>Mapp</w:t>
      </w:r>
      <w:proofErr w:type="spellEnd"/>
      <w:r w:rsidR="00465832" w:rsidRPr="003307B3">
        <w:rPr>
          <w:rFonts w:cstheme="minorHAnsi"/>
          <w:sz w:val="21"/>
          <w:szCs w:val="21"/>
          <w:u w:val="single"/>
        </w:rPr>
        <w:t xml:space="preserve"> v. Ohio,</w:t>
      </w:r>
      <w:r w:rsidR="00465832" w:rsidRPr="003307B3">
        <w:rPr>
          <w:rFonts w:cstheme="minorHAnsi"/>
          <w:sz w:val="21"/>
          <w:szCs w:val="21"/>
        </w:rPr>
        <w:t xml:space="preserve"> 367 U.S. 643, 646 (1961).</w:t>
      </w:r>
      <w:proofErr w:type="gramEnd"/>
      <w:r w:rsidR="00465832" w:rsidRPr="003307B3">
        <w:rPr>
          <w:rFonts w:cstheme="minorHAnsi"/>
          <w:sz w:val="21"/>
          <w:szCs w:val="21"/>
        </w:rPr>
        <w:t xml:space="preserve"> </w:t>
      </w:r>
      <w:r w:rsidR="008E2097" w:rsidRPr="003307B3">
        <w:rPr>
          <w:rFonts w:cstheme="minorHAnsi"/>
          <w:sz w:val="21"/>
          <w:szCs w:val="21"/>
        </w:rPr>
        <w:t xml:space="preserve">The </w:t>
      </w:r>
      <w:r w:rsidR="00E705C2" w:rsidRPr="003307B3">
        <w:rPr>
          <w:rFonts w:cstheme="minorHAnsi"/>
          <w:sz w:val="21"/>
          <w:szCs w:val="21"/>
        </w:rPr>
        <w:t xml:space="preserve">exclusionary rule </w:t>
      </w:r>
      <w:r w:rsidR="008E2097" w:rsidRPr="003307B3">
        <w:rPr>
          <w:rFonts w:cstheme="minorHAnsi"/>
          <w:sz w:val="21"/>
          <w:szCs w:val="21"/>
        </w:rPr>
        <w:t xml:space="preserve">comes from the </w:t>
      </w:r>
      <w:r w:rsidR="00811FCD" w:rsidRPr="003307B3">
        <w:rPr>
          <w:rFonts w:cstheme="minorHAnsi"/>
          <w:sz w:val="21"/>
          <w:szCs w:val="21"/>
        </w:rPr>
        <w:t>Fourth</w:t>
      </w:r>
      <w:r w:rsidR="008E2097" w:rsidRPr="003307B3">
        <w:rPr>
          <w:rFonts w:cstheme="minorHAnsi"/>
          <w:sz w:val="21"/>
          <w:szCs w:val="21"/>
        </w:rPr>
        <w:t xml:space="preserve"> </w:t>
      </w:r>
      <w:r w:rsidR="00811FCD" w:rsidRPr="003307B3">
        <w:rPr>
          <w:rFonts w:cstheme="minorHAnsi"/>
          <w:sz w:val="21"/>
          <w:szCs w:val="21"/>
        </w:rPr>
        <w:t>Amendment</w:t>
      </w:r>
      <w:r w:rsidR="00ED2DFC" w:rsidRPr="003307B3">
        <w:rPr>
          <w:rFonts w:cstheme="minorHAnsi"/>
          <w:sz w:val="21"/>
          <w:szCs w:val="21"/>
        </w:rPr>
        <w:t xml:space="preserve"> Due P</w:t>
      </w:r>
      <w:r w:rsidR="008E2097" w:rsidRPr="003307B3">
        <w:rPr>
          <w:rFonts w:cstheme="minorHAnsi"/>
          <w:sz w:val="21"/>
          <w:szCs w:val="21"/>
        </w:rPr>
        <w:t xml:space="preserve">rocess </w:t>
      </w:r>
      <w:r w:rsidR="005E3162" w:rsidRPr="003307B3">
        <w:rPr>
          <w:rFonts w:cstheme="minorHAnsi"/>
          <w:sz w:val="21"/>
          <w:szCs w:val="21"/>
        </w:rPr>
        <w:t>Clause</w:t>
      </w:r>
      <w:r w:rsidR="008E2097" w:rsidRPr="003307B3">
        <w:rPr>
          <w:rFonts w:cstheme="minorHAnsi"/>
          <w:sz w:val="21"/>
          <w:szCs w:val="21"/>
        </w:rPr>
        <w:t>, and appli</w:t>
      </w:r>
      <w:r w:rsidR="00811FCD" w:rsidRPr="003307B3">
        <w:rPr>
          <w:rFonts w:cstheme="minorHAnsi"/>
          <w:sz w:val="21"/>
          <w:szCs w:val="21"/>
        </w:rPr>
        <w:t>es to state law through the Fourteenth</w:t>
      </w:r>
      <w:r w:rsidR="008E2097" w:rsidRPr="003307B3">
        <w:rPr>
          <w:rFonts w:cstheme="minorHAnsi"/>
          <w:sz w:val="21"/>
          <w:szCs w:val="21"/>
        </w:rPr>
        <w:t xml:space="preserve"> </w:t>
      </w:r>
      <w:r w:rsidR="00811FCD" w:rsidRPr="003307B3">
        <w:rPr>
          <w:rFonts w:cstheme="minorHAnsi"/>
          <w:sz w:val="21"/>
          <w:szCs w:val="21"/>
        </w:rPr>
        <w:t>Amendment</w:t>
      </w:r>
      <w:r w:rsidR="008E2097" w:rsidRPr="003307B3">
        <w:rPr>
          <w:rFonts w:cstheme="minorHAnsi"/>
          <w:sz w:val="21"/>
          <w:szCs w:val="21"/>
        </w:rPr>
        <w:t xml:space="preserve">. </w:t>
      </w:r>
      <w:r w:rsidR="00D06056" w:rsidRPr="003307B3">
        <w:rPr>
          <w:rFonts w:cstheme="minorHAnsi"/>
          <w:sz w:val="21"/>
          <w:szCs w:val="21"/>
          <w:u w:val="single"/>
        </w:rPr>
        <w:t>Id</w:t>
      </w:r>
      <w:r w:rsidR="00D06056" w:rsidRPr="003307B3">
        <w:rPr>
          <w:rFonts w:cstheme="minorHAnsi"/>
          <w:sz w:val="21"/>
          <w:szCs w:val="21"/>
        </w:rPr>
        <w:t xml:space="preserve">. </w:t>
      </w:r>
      <w:r w:rsidR="003F54EC" w:rsidRPr="003307B3">
        <w:rPr>
          <w:rFonts w:cstheme="minorHAnsi"/>
          <w:sz w:val="21"/>
          <w:szCs w:val="21"/>
        </w:rPr>
        <w:t>This type if action can be prompted by lack of a warrant, a warrant based on insufficient/false information, or violation of a person’s expected right to p</w:t>
      </w:r>
      <w:r w:rsidR="003B5403" w:rsidRPr="003307B3">
        <w:rPr>
          <w:rFonts w:cstheme="minorHAnsi"/>
          <w:sz w:val="21"/>
          <w:szCs w:val="21"/>
        </w:rPr>
        <w:t xml:space="preserve">rivacy through a search. </w:t>
      </w:r>
      <w:proofErr w:type="gramStart"/>
      <w:r w:rsidR="003B5403" w:rsidRPr="003307B3">
        <w:rPr>
          <w:rFonts w:cstheme="minorHAnsi"/>
          <w:sz w:val="21"/>
          <w:szCs w:val="21"/>
          <w:u w:val="single"/>
        </w:rPr>
        <w:t xml:space="preserve">United States v. </w:t>
      </w:r>
      <w:proofErr w:type="spellStart"/>
      <w:r w:rsidR="003B5403" w:rsidRPr="003307B3">
        <w:rPr>
          <w:rFonts w:cstheme="minorHAnsi"/>
          <w:sz w:val="21"/>
          <w:szCs w:val="21"/>
          <w:u w:val="single"/>
        </w:rPr>
        <w:t>Karo</w:t>
      </w:r>
      <w:proofErr w:type="spellEnd"/>
      <w:r w:rsidR="003B5403" w:rsidRPr="003307B3">
        <w:rPr>
          <w:rFonts w:cstheme="minorHAnsi"/>
          <w:sz w:val="21"/>
          <w:szCs w:val="21"/>
        </w:rPr>
        <w:t>, 468 U.S. 705, 707 (1984).</w:t>
      </w:r>
      <w:proofErr w:type="gramEnd"/>
      <w:r w:rsidR="003B5403" w:rsidRPr="003307B3">
        <w:rPr>
          <w:rFonts w:cstheme="minorHAnsi"/>
          <w:sz w:val="21"/>
          <w:szCs w:val="21"/>
        </w:rPr>
        <w:t xml:space="preserve"> </w:t>
      </w:r>
      <w:r w:rsidR="003F54EC" w:rsidRPr="003307B3">
        <w:rPr>
          <w:rFonts w:cstheme="minorHAnsi"/>
          <w:sz w:val="21"/>
          <w:szCs w:val="21"/>
        </w:rPr>
        <w:t xml:space="preserve">To state a claim, a person must show that </w:t>
      </w:r>
      <w:r w:rsidR="00E705C2" w:rsidRPr="003307B3">
        <w:rPr>
          <w:rFonts w:cstheme="minorHAnsi"/>
          <w:sz w:val="21"/>
          <w:szCs w:val="21"/>
        </w:rPr>
        <w:t xml:space="preserve">the </w:t>
      </w:r>
      <w:r w:rsidR="003F54EC" w:rsidRPr="003307B3">
        <w:rPr>
          <w:rFonts w:cstheme="minorHAnsi"/>
          <w:sz w:val="21"/>
          <w:szCs w:val="21"/>
        </w:rPr>
        <w:t xml:space="preserve">procedure used by police during </w:t>
      </w:r>
      <w:r w:rsidR="00811FCD" w:rsidRPr="003307B3">
        <w:rPr>
          <w:rFonts w:cstheme="minorHAnsi"/>
          <w:sz w:val="21"/>
          <w:szCs w:val="21"/>
        </w:rPr>
        <w:t>an</w:t>
      </w:r>
      <w:r w:rsidR="003F54EC" w:rsidRPr="003307B3">
        <w:rPr>
          <w:rFonts w:cstheme="minorHAnsi"/>
          <w:sz w:val="21"/>
          <w:szCs w:val="21"/>
        </w:rPr>
        <w:t xml:space="preserve"> investigation violated the defendant’s protected rights. If the methods used are deemed to be in violation of the defendant’s constitutionally protected rights, the evidence may be suppres</w:t>
      </w:r>
      <w:r w:rsidR="008659DB" w:rsidRPr="003307B3">
        <w:rPr>
          <w:rFonts w:cstheme="minorHAnsi"/>
          <w:sz w:val="21"/>
          <w:szCs w:val="21"/>
        </w:rPr>
        <w:t xml:space="preserve">sed by the courts. </w:t>
      </w:r>
      <w:proofErr w:type="gramStart"/>
      <w:r w:rsidR="008659DB" w:rsidRPr="003307B3">
        <w:rPr>
          <w:rFonts w:cstheme="minorHAnsi"/>
          <w:sz w:val="21"/>
          <w:szCs w:val="21"/>
          <w:u w:val="single"/>
        </w:rPr>
        <w:t>Illinois v. Gates</w:t>
      </w:r>
      <w:r w:rsidR="008659DB" w:rsidRPr="003307B3">
        <w:rPr>
          <w:rFonts w:cstheme="minorHAnsi"/>
          <w:sz w:val="21"/>
          <w:szCs w:val="21"/>
        </w:rPr>
        <w:t>, 462 U.S. 213, 220 (1983).</w:t>
      </w:r>
      <w:proofErr w:type="gramEnd"/>
    </w:p>
    <w:p w:rsidR="003F54EC" w:rsidRPr="003307B3" w:rsidRDefault="003F54EC" w:rsidP="00C2066F">
      <w:pPr>
        <w:spacing w:after="0" w:line="480" w:lineRule="auto"/>
        <w:rPr>
          <w:rFonts w:cstheme="minorHAnsi"/>
          <w:sz w:val="21"/>
          <w:szCs w:val="21"/>
        </w:rPr>
      </w:pPr>
      <w:r w:rsidRPr="003307B3">
        <w:rPr>
          <w:rFonts w:cstheme="minorHAnsi"/>
          <w:sz w:val="21"/>
          <w:szCs w:val="21"/>
        </w:rPr>
        <w:tab/>
        <w:t xml:space="preserve">When considering the reasonableness of a search, a court must first establish if a search </w:t>
      </w:r>
      <w:r w:rsidR="003B5403" w:rsidRPr="003307B3">
        <w:rPr>
          <w:rFonts w:cstheme="minorHAnsi"/>
          <w:sz w:val="21"/>
          <w:szCs w:val="21"/>
        </w:rPr>
        <w:t xml:space="preserve">has actually occurred. </w:t>
      </w:r>
      <w:proofErr w:type="gramStart"/>
      <w:r w:rsidR="003B5403" w:rsidRPr="003307B3">
        <w:rPr>
          <w:rFonts w:cstheme="minorHAnsi"/>
          <w:sz w:val="21"/>
          <w:szCs w:val="21"/>
          <w:u w:val="single"/>
        </w:rPr>
        <w:t>Carroll v. United States</w:t>
      </w:r>
      <w:r w:rsidR="003B5403" w:rsidRPr="003307B3">
        <w:rPr>
          <w:rFonts w:cstheme="minorHAnsi"/>
          <w:sz w:val="21"/>
          <w:szCs w:val="21"/>
        </w:rPr>
        <w:t>, 267 U.S. 132, 150 (1925).</w:t>
      </w:r>
      <w:proofErr w:type="gramEnd"/>
      <w:r w:rsidRPr="003307B3">
        <w:rPr>
          <w:rFonts w:cstheme="minorHAnsi"/>
          <w:sz w:val="21"/>
          <w:szCs w:val="21"/>
        </w:rPr>
        <w:t xml:space="preserve"> The law states that a search occurs when an act violates an area in which a person has a reasonable expec</w:t>
      </w:r>
      <w:r w:rsidR="008659DB" w:rsidRPr="003307B3">
        <w:rPr>
          <w:rFonts w:cstheme="minorHAnsi"/>
          <w:sz w:val="21"/>
          <w:szCs w:val="21"/>
        </w:rPr>
        <w:t xml:space="preserve">tation of privacy. </w:t>
      </w:r>
      <w:proofErr w:type="gramStart"/>
      <w:r w:rsidR="008659DB" w:rsidRPr="003307B3">
        <w:rPr>
          <w:rFonts w:cstheme="minorHAnsi"/>
          <w:sz w:val="21"/>
          <w:szCs w:val="21"/>
          <w:u w:val="single"/>
        </w:rPr>
        <w:t>Terry v. Ohio</w:t>
      </w:r>
      <w:r w:rsidR="008659DB" w:rsidRPr="003307B3">
        <w:rPr>
          <w:rFonts w:cstheme="minorHAnsi"/>
          <w:sz w:val="21"/>
          <w:szCs w:val="21"/>
        </w:rPr>
        <w:t>, 392 U.S. 1, 9 (1968).</w:t>
      </w:r>
      <w:proofErr w:type="gramEnd"/>
      <w:r w:rsidRPr="003307B3">
        <w:rPr>
          <w:rFonts w:cstheme="minorHAnsi"/>
          <w:sz w:val="21"/>
          <w:szCs w:val="21"/>
        </w:rPr>
        <w:t xml:space="preserve"> An expectation of privacy begins in the home, but can extend to other places if the court holds that those places warrant it</w:t>
      </w:r>
      <w:r w:rsidR="009A12EE" w:rsidRPr="003307B3">
        <w:rPr>
          <w:rFonts w:cstheme="minorHAnsi"/>
          <w:sz w:val="21"/>
          <w:szCs w:val="21"/>
        </w:rPr>
        <w:t xml:space="preserve">. </w:t>
      </w:r>
      <w:r w:rsidR="009A12EE" w:rsidRPr="003307B3">
        <w:rPr>
          <w:rFonts w:cstheme="minorHAnsi"/>
          <w:sz w:val="21"/>
          <w:szCs w:val="21"/>
          <w:u w:val="single"/>
        </w:rPr>
        <w:t>Katz,</w:t>
      </w:r>
      <w:r w:rsidR="009A12EE" w:rsidRPr="003307B3">
        <w:rPr>
          <w:rFonts w:cstheme="minorHAnsi"/>
          <w:sz w:val="21"/>
          <w:szCs w:val="21"/>
        </w:rPr>
        <w:t xml:space="preserve"> 389 U.S. at 351.</w:t>
      </w:r>
      <w:r w:rsidRPr="003307B3">
        <w:rPr>
          <w:rFonts w:cstheme="minorHAnsi"/>
          <w:sz w:val="21"/>
          <w:szCs w:val="21"/>
        </w:rPr>
        <w:t xml:space="preserve"> Physical penetration of a protected area is not required for a</w:t>
      </w:r>
      <w:r w:rsidR="009A12EE" w:rsidRPr="003307B3">
        <w:rPr>
          <w:rFonts w:cstheme="minorHAnsi"/>
          <w:sz w:val="21"/>
          <w:szCs w:val="21"/>
        </w:rPr>
        <w:t xml:space="preserve"> search to have occurred. </w:t>
      </w:r>
      <w:r w:rsidR="009A12EE" w:rsidRPr="003307B3">
        <w:rPr>
          <w:rFonts w:cstheme="minorHAnsi"/>
          <w:sz w:val="21"/>
          <w:szCs w:val="21"/>
          <w:u w:val="single"/>
        </w:rPr>
        <w:t>Id.</w:t>
      </w:r>
      <w:r w:rsidRPr="003307B3">
        <w:rPr>
          <w:rFonts w:cstheme="minorHAnsi"/>
          <w:sz w:val="21"/>
          <w:szCs w:val="21"/>
        </w:rPr>
        <w:t xml:space="preserve"> Any form of intrusion can be construed as sufficient, and may b</w:t>
      </w:r>
      <w:r w:rsidR="003B5403" w:rsidRPr="003307B3">
        <w:rPr>
          <w:rFonts w:cstheme="minorHAnsi"/>
          <w:sz w:val="21"/>
          <w:szCs w:val="21"/>
        </w:rPr>
        <w:t xml:space="preserve">e deemed unreasonable. </w:t>
      </w:r>
      <w:r w:rsidR="003B5403" w:rsidRPr="003307B3">
        <w:rPr>
          <w:rFonts w:cstheme="minorHAnsi"/>
          <w:sz w:val="21"/>
          <w:szCs w:val="21"/>
          <w:u w:val="single"/>
        </w:rPr>
        <w:t>Carroll</w:t>
      </w:r>
      <w:r w:rsidR="003B5403" w:rsidRPr="003307B3">
        <w:rPr>
          <w:rFonts w:cstheme="minorHAnsi"/>
          <w:sz w:val="21"/>
          <w:szCs w:val="21"/>
        </w:rPr>
        <w:t>, 267 U.S. at 151.</w:t>
      </w:r>
      <w:r w:rsidRPr="003307B3">
        <w:rPr>
          <w:rFonts w:cstheme="minorHAnsi"/>
          <w:sz w:val="21"/>
          <w:szCs w:val="21"/>
        </w:rPr>
        <w:t xml:space="preserve"> The </w:t>
      </w:r>
      <w:r w:rsidR="00811FCD" w:rsidRPr="003307B3">
        <w:rPr>
          <w:rFonts w:cstheme="minorHAnsi"/>
          <w:sz w:val="21"/>
          <w:szCs w:val="21"/>
        </w:rPr>
        <w:t>Fourth</w:t>
      </w:r>
      <w:r w:rsidRPr="003307B3">
        <w:rPr>
          <w:rFonts w:cstheme="minorHAnsi"/>
          <w:sz w:val="21"/>
          <w:szCs w:val="21"/>
        </w:rPr>
        <w:t xml:space="preserve"> </w:t>
      </w:r>
      <w:r w:rsidR="00811FCD" w:rsidRPr="003307B3">
        <w:rPr>
          <w:rFonts w:cstheme="minorHAnsi"/>
          <w:sz w:val="21"/>
          <w:szCs w:val="21"/>
        </w:rPr>
        <w:t>Amendment</w:t>
      </w:r>
      <w:r w:rsidRPr="003307B3">
        <w:rPr>
          <w:rFonts w:cstheme="minorHAnsi"/>
          <w:sz w:val="21"/>
          <w:szCs w:val="21"/>
        </w:rPr>
        <w:t xml:space="preserve"> only protects specific places from certain types of government intrusion; the Constitution forbids only unre</w:t>
      </w:r>
      <w:r w:rsidR="009A12EE" w:rsidRPr="003307B3">
        <w:rPr>
          <w:rFonts w:cstheme="minorHAnsi"/>
          <w:sz w:val="21"/>
          <w:szCs w:val="21"/>
        </w:rPr>
        <w:t xml:space="preserve">asonable searches. </w:t>
      </w:r>
      <w:proofErr w:type="gramStart"/>
      <w:r w:rsidR="009A12EE" w:rsidRPr="003307B3">
        <w:rPr>
          <w:rFonts w:cstheme="minorHAnsi"/>
          <w:sz w:val="21"/>
          <w:szCs w:val="21"/>
          <w:u w:val="single"/>
        </w:rPr>
        <w:t>Katz,</w:t>
      </w:r>
      <w:r w:rsidR="009A12EE" w:rsidRPr="003307B3">
        <w:rPr>
          <w:rFonts w:cstheme="minorHAnsi"/>
          <w:sz w:val="21"/>
          <w:szCs w:val="21"/>
        </w:rPr>
        <w:t xml:space="preserve"> 389 U.S. at 352</w:t>
      </w:r>
      <w:r w:rsidR="008659DB" w:rsidRPr="003307B3">
        <w:rPr>
          <w:rFonts w:cstheme="minorHAnsi"/>
          <w:sz w:val="21"/>
          <w:szCs w:val="21"/>
        </w:rPr>
        <w:t xml:space="preserve">; </w:t>
      </w:r>
      <w:r w:rsidR="008659DB" w:rsidRPr="003307B3">
        <w:rPr>
          <w:rFonts w:cstheme="minorHAnsi"/>
          <w:sz w:val="21"/>
          <w:szCs w:val="21"/>
          <w:u w:val="single"/>
        </w:rPr>
        <w:t>Terry</w:t>
      </w:r>
      <w:r w:rsidR="008659DB" w:rsidRPr="003307B3">
        <w:rPr>
          <w:rFonts w:cstheme="minorHAnsi"/>
          <w:sz w:val="21"/>
          <w:szCs w:val="21"/>
        </w:rPr>
        <w:t>, 392 U.S. at 8.</w:t>
      </w:r>
      <w:proofErr w:type="gramEnd"/>
      <w:r w:rsidRPr="003307B3">
        <w:rPr>
          <w:rFonts w:cstheme="minorHAnsi"/>
          <w:sz w:val="21"/>
          <w:szCs w:val="21"/>
        </w:rPr>
        <w:t xml:space="preserve"> Cars are constantly under the view of the public (even while parked), and their contents and passengers should not expect a level of privacy comparable to that of the home. </w:t>
      </w:r>
      <w:proofErr w:type="gramStart"/>
      <w:r w:rsidR="009A12EE" w:rsidRPr="003307B3">
        <w:rPr>
          <w:rFonts w:cstheme="minorHAnsi"/>
          <w:sz w:val="21"/>
          <w:szCs w:val="21"/>
          <w:u w:val="single"/>
        </w:rPr>
        <w:t xml:space="preserve">United States v. </w:t>
      </w:r>
      <w:proofErr w:type="spellStart"/>
      <w:r w:rsidR="009A12EE" w:rsidRPr="003307B3">
        <w:rPr>
          <w:rFonts w:cstheme="minorHAnsi"/>
          <w:sz w:val="21"/>
          <w:szCs w:val="21"/>
          <w:u w:val="single"/>
        </w:rPr>
        <w:t>Knotts</w:t>
      </w:r>
      <w:proofErr w:type="spellEnd"/>
      <w:r w:rsidR="009A12EE" w:rsidRPr="003307B3">
        <w:rPr>
          <w:rFonts w:cstheme="minorHAnsi"/>
          <w:sz w:val="21"/>
          <w:szCs w:val="21"/>
        </w:rPr>
        <w:t>, 460 U.S. 276, 276 (1983).</w:t>
      </w:r>
      <w:proofErr w:type="gramEnd"/>
      <w:r w:rsidR="009A12EE" w:rsidRPr="003307B3">
        <w:rPr>
          <w:rFonts w:cstheme="minorHAnsi"/>
          <w:sz w:val="21"/>
          <w:szCs w:val="21"/>
        </w:rPr>
        <w:t xml:space="preserve"> </w:t>
      </w:r>
      <w:r w:rsidRPr="003307B3">
        <w:rPr>
          <w:rFonts w:cstheme="minorHAnsi"/>
          <w:sz w:val="21"/>
          <w:szCs w:val="21"/>
        </w:rPr>
        <w:t>The police are not held to be acting invasively when a person is placed under surveillanc</w:t>
      </w:r>
      <w:r w:rsidR="00811FCD" w:rsidRPr="003307B3">
        <w:rPr>
          <w:rFonts w:cstheme="minorHAnsi"/>
          <w:sz w:val="21"/>
          <w:szCs w:val="21"/>
        </w:rPr>
        <w:t>e while using her</w:t>
      </w:r>
      <w:r w:rsidR="009A12EE" w:rsidRPr="003307B3">
        <w:rPr>
          <w:rFonts w:cstheme="minorHAnsi"/>
          <w:sz w:val="21"/>
          <w:szCs w:val="21"/>
        </w:rPr>
        <w:t xml:space="preserve"> car. </w:t>
      </w:r>
      <w:r w:rsidR="009A12EE" w:rsidRPr="003307B3">
        <w:rPr>
          <w:rFonts w:cstheme="minorHAnsi"/>
          <w:sz w:val="21"/>
          <w:szCs w:val="21"/>
          <w:u w:val="single"/>
        </w:rPr>
        <w:t>Id.</w:t>
      </w:r>
      <w:r w:rsidRPr="003307B3">
        <w:rPr>
          <w:rFonts w:cstheme="minorHAnsi"/>
          <w:sz w:val="21"/>
          <w:szCs w:val="21"/>
        </w:rPr>
        <w:t xml:space="preserve"> The law has held even elaborate methods of tracking and inspecting, extending also to contents out of view, are not invasive enough to be considered a search and do not require a warrant. </w:t>
      </w:r>
      <w:proofErr w:type="spellStart"/>
      <w:proofErr w:type="gramStart"/>
      <w:r w:rsidR="003B5403" w:rsidRPr="003307B3">
        <w:rPr>
          <w:rFonts w:cstheme="minorHAnsi"/>
          <w:sz w:val="21"/>
          <w:szCs w:val="21"/>
          <w:u w:val="single"/>
        </w:rPr>
        <w:t>Kyllo</w:t>
      </w:r>
      <w:proofErr w:type="spellEnd"/>
      <w:r w:rsidR="003B5403" w:rsidRPr="003307B3">
        <w:rPr>
          <w:rFonts w:cstheme="minorHAnsi"/>
          <w:sz w:val="21"/>
          <w:szCs w:val="21"/>
          <w:u w:val="single"/>
        </w:rPr>
        <w:t xml:space="preserve"> v. United States</w:t>
      </w:r>
      <w:r w:rsidR="003B5403" w:rsidRPr="003307B3">
        <w:rPr>
          <w:rFonts w:cstheme="minorHAnsi"/>
          <w:sz w:val="21"/>
          <w:szCs w:val="21"/>
        </w:rPr>
        <w:t>, 533 U.S. 27, 28 (2001).</w:t>
      </w:r>
      <w:proofErr w:type="gramEnd"/>
      <w:r w:rsidR="003B5403" w:rsidRPr="003307B3">
        <w:rPr>
          <w:rFonts w:cstheme="minorHAnsi"/>
          <w:sz w:val="21"/>
          <w:szCs w:val="21"/>
        </w:rPr>
        <w:t xml:space="preserve"> </w:t>
      </w:r>
      <w:r w:rsidRPr="003307B3">
        <w:rPr>
          <w:rFonts w:cstheme="minorHAnsi"/>
          <w:sz w:val="21"/>
          <w:szCs w:val="21"/>
        </w:rPr>
        <w:t>The use of computers, cameras, and other modern methods has made this task simpler, but the court has held to the original idea that surveillance is</w:t>
      </w:r>
      <w:r w:rsidR="009A12EE" w:rsidRPr="003307B3">
        <w:rPr>
          <w:rFonts w:cstheme="minorHAnsi"/>
          <w:sz w:val="21"/>
          <w:szCs w:val="21"/>
        </w:rPr>
        <w:t xml:space="preserve"> generally not a search. </w:t>
      </w:r>
      <w:proofErr w:type="spellStart"/>
      <w:r w:rsidR="009A12EE" w:rsidRPr="003307B3">
        <w:rPr>
          <w:rFonts w:cstheme="minorHAnsi"/>
          <w:sz w:val="21"/>
          <w:szCs w:val="21"/>
          <w:u w:val="single"/>
        </w:rPr>
        <w:t>Knotts</w:t>
      </w:r>
      <w:proofErr w:type="spellEnd"/>
      <w:r w:rsidR="009A12EE" w:rsidRPr="003307B3">
        <w:rPr>
          <w:rFonts w:cstheme="minorHAnsi"/>
          <w:sz w:val="21"/>
          <w:szCs w:val="21"/>
          <w:u w:val="single"/>
        </w:rPr>
        <w:t>,</w:t>
      </w:r>
      <w:r w:rsidR="009A12EE" w:rsidRPr="003307B3">
        <w:rPr>
          <w:rFonts w:cstheme="minorHAnsi"/>
          <w:sz w:val="21"/>
          <w:szCs w:val="21"/>
        </w:rPr>
        <w:t xml:space="preserve"> 460 U.S. at 276.</w:t>
      </w:r>
    </w:p>
    <w:p w:rsidR="003F54EC" w:rsidRPr="003307B3" w:rsidRDefault="003F54EC" w:rsidP="00C2066F">
      <w:pPr>
        <w:spacing w:after="0" w:line="480" w:lineRule="auto"/>
        <w:rPr>
          <w:rFonts w:cstheme="minorHAnsi"/>
          <w:sz w:val="21"/>
          <w:szCs w:val="21"/>
        </w:rPr>
      </w:pPr>
      <w:r w:rsidRPr="003307B3">
        <w:rPr>
          <w:rFonts w:cstheme="minorHAnsi"/>
          <w:sz w:val="21"/>
          <w:szCs w:val="21"/>
        </w:rPr>
        <w:tab/>
        <w:t>Courts have held to different standards regarding whether “GPS” tracking is considered a search, or simply a substitute for more traditional m</w:t>
      </w:r>
      <w:r w:rsidR="00316CEB" w:rsidRPr="003307B3">
        <w:rPr>
          <w:rFonts w:cstheme="minorHAnsi"/>
          <w:sz w:val="21"/>
          <w:szCs w:val="21"/>
        </w:rPr>
        <w:t xml:space="preserve">ethods of investigation. </w:t>
      </w:r>
      <w:proofErr w:type="spellStart"/>
      <w:r w:rsidR="003B5403" w:rsidRPr="003307B3">
        <w:rPr>
          <w:rFonts w:cstheme="minorHAnsi"/>
          <w:sz w:val="21"/>
          <w:szCs w:val="21"/>
          <w:u w:val="single"/>
        </w:rPr>
        <w:t>Kyllo</w:t>
      </w:r>
      <w:proofErr w:type="spellEnd"/>
      <w:r w:rsidR="00316CEB" w:rsidRPr="003307B3">
        <w:rPr>
          <w:rFonts w:cstheme="minorHAnsi"/>
          <w:sz w:val="21"/>
          <w:szCs w:val="21"/>
        </w:rPr>
        <w:t xml:space="preserve">, 533 U.S. </w:t>
      </w:r>
      <w:r w:rsidR="003B5403" w:rsidRPr="003307B3">
        <w:rPr>
          <w:rFonts w:cstheme="minorHAnsi"/>
          <w:sz w:val="21"/>
          <w:szCs w:val="21"/>
        </w:rPr>
        <w:t>at</w:t>
      </w:r>
      <w:r w:rsidR="00316CEB" w:rsidRPr="003307B3">
        <w:rPr>
          <w:rFonts w:cstheme="minorHAnsi"/>
          <w:sz w:val="21"/>
          <w:szCs w:val="21"/>
        </w:rPr>
        <w:t xml:space="preserve"> 28</w:t>
      </w:r>
      <w:r w:rsidR="003B5403" w:rsidRPr="003307B3">
        <w:rPr>
          <w:rFonts w:cstheme="minorHAnsi"/>
          <w:sz w:val="21"/>
          <w:szCs w:val="21"/>
        </w:rPr>
        <w:t xml:space="preserve"> </w:t>
      </w:r>
      <w:r w:rsidR="00316CEB" w:rsidRPr="003307B3">
        <w:rPr>
          <w:rFonts w:cstheme="minorHAnsi"/>
          <w:sz w:val="21"/>
          <w:szCs w:val="21"/>
        </w:rPr>
        <w:t>(</w:t>
      </w:r>
      <w:r w:rsidR="00F42D66" w:rsidRPr="003307B3">
        <w:rPr>
          <w:rFonts w:cstheme="minorHAnsi"/>
          <w:sz w:val="21"/>
          <w:szCs w:val="21"/>
        </w:rPr>
        <w:t>Court</w:t>
      </w:r>
      <w:r w:rsidR="00316CEB" w:rsidRPr="003307B3">
        <w:rPr>
          <w:rFonts w:cstheme="minorHAnsi"/>
          <w:sz w:val="21"/>
          <w:szCs w:val="21"/>
        </w:rPr>
        <w:t xml:space="preserve"> ruled that the </w:t>
      </w:r>
      <w:r w:rsidR="00316CEB" w:rsidRPr="003307B3">
        <w:rPr>
          <w:rFonts w:cstheme="minorHAnsi"/>
          <w:sz w:val="21"/>
          <w:szCs w:val="21"/>
        </w:rPr>
        <w:lastRenderedPageBreak/>
        <w:t xml:space="preserve">reasonableness of devices used in police investigation was contingent on the device existing to enhance traditional means); </w:t>
      </w:r>
      <w:r w:rsidR="000A623C" w:rsidRPr="003307B3">
        <w:rPr>
          <w:rFonts w:cstheme="minorHAnsi"/>
          <w:sz w:val="21"/>
          <w:szCs w:val="21"/>
          <w:u w:val="single"/>
        </w:rPr>
        <w:t>United States v. Garcia</w:t>
      </w:r>
      <w:r w:rsidR="000A623C" w:rsidRPr="003307B3">
        <w:rPr>
          <w:rFonts w:cstheme="minorHAnsi"/>
          <w:sz w:val="21"/>
          <w:szCs w:val="21"/>
        </w:rPr>
        <w:t>, 474 F.3d 994, 997 (7</w:t>
      </w:r>
      <w:r w:rsidR="000A623C" w:rsidRPr="003307B3">
        <w:rPr>
          <w:rFonts w:cstheme="minorHAnsi"/>
          <w:sz w:val="21"/>
          <w:szCs w:val="21"/>
          <w:vertAlign w:val="superscript"/>
        </w:rPr>
        <w:t>th</w:t>
      </w:r>
      <w:r w:rsidR="000A623C" w:rsidRPr="003307B3">
        <w:rPr>
          <w:rFonts w:cstheme="minorHAnsi"/>
          <w:sz w:val="21"/>
          <w:szCs w:val="21"/>
        </w:rPr>
        <w:t xml:space="preserve"> Cir. 2007).</w:t>
      </w:r>
      <w:r w:rsidRPr="003307B3">
        <w:rPr>
          <w:rFonts w:cstheme="minorHAnsi"/>
          <w:sz w:val="21"/>
          <w:szCs w:val="21"/>
        </w:rPr>
        <w:t xml:space="preserve"> If the use of a technology can be claimed as replacing what could be done through traditional means; e.g.: using a tracking device instead of following a suspect using patrols and cameras; then the court traditionally does not consider these uses invasive enough to be considered a search. </w:t>
      </w:r>
      <w:r w:rsidR="000A623C" w:rsidRPr="003307B3">
        <w:rPr>
          <w:rFonts w:cstheme="minorHAnsi"/>
          <w:sz w:val="21"/>
          <w:szCs w:val="21"/>
          <w:u w:val="single"/>
        </w:rPr>
        <w:t>Garcia</w:t>
      </w:r>
      <w:r w:rsidR="000A623C" w:rsidRPr="003307B3">
        <w:rPr>
          <w:rFonts w:cstheme="minorHAnsi"/>
          <w:sz w:val="21"/>
          <w:szCs w:val="21"/>
        </w:rPr>
        <w:t xml:space="preserve">, </w:t>
      </w:r>
      <w:proofErr w:type="gramStart"/>
      <w:r w:rsidR="000A623C" w:rsidRPr="003307B3">
        <w:rPr>
          <w:rFonts w:cstheme="minorHAnsi"/>
          <w:sz w:val="21"/>
          <w:szCs w:val="21"/>
        </w:rPr>
        <w:t>474 F.3d at 996</w:t>
      </w:r>
      <w:proofErr w:type="gramEnd"/>
      <w:r w:rsidR="000A623C" w:rsidRPr="003307B3">
        <w:rPr>
          <w:rFonts w:cstheme="minorHAnsi"/>
          <w:sz w:val="21"/>
          <w:szCs w:val="21"/>
        </w:rPr>
        <w:t xml:space="preserve">. </w:t>
      </w:r>
      <w:r w:rsidRPr="003307B3">
        <w:rPr>
          <w:rFonts w:cstheme="minorHAnsi"/>
          <w:sz w:val="21"/>
          <w:szCs w:val="21"/>
        </w:rPr>
        <w:t xml:space="preserve">In considering the amount of invasion, courts look at how intrusive the device is, the breadth of time it is used, and the type of information gathered. </w:t>
      </w:r>
      <w:r w:rsidR="000A623C" w:rsidRPr="003307B3">
        <w:rPr>
          <w:rFonts w:cstheme="minorHAnsi"/>
          <w:sz w:val="21"/>
          <w:szCs w:val="21"/>
          <w:u w:val="single"/>
        </w:rPr>
        <w:t>Id.</w:t>
      </w:r>
      <w:r w:rsidR="000A623C" w:rsidRPr="003307B3">
        <w:rPr>
          <w:rFonts w:cstheme="minorHAnsi"/>
          <w:sz w:val="21"/>
          <w:szCs w:val="21"/>
        </w:rPr>
        <w:t xml:space="preserve"> at 997</w:t>
      </w:r>
      <w:r w:rsidR="00316CEB" w:rsidRPr="003307B3">
        <w:rPr>
          <w:rFonts w:cstheme="minorHAnsi"/>
          <w:sz w:val="21"/>
          <w:szCs w:val="21"/>
        </w:rPr>
        <w:t xml:space="preserve">; </w:t>
      </w:r>
      <w:r w:rsidR="00316CEB" w:rsidRPr="003307B3">
        <w:rPr>
          <w:rFonts w:cstheme="minorHAnsi"/>
          <w:sz w:val="21"/>
          <w:szCs w:val="21"/>
          <w:u w:val="single"/>
        </w:rPr>
        <w:t>United States v. Michael</w:t>
      </w:r>
      <w:r w:rsidR="00316CEB" w:rsidRPr="003307B3">
        <w:rPr>
          <w:rFonts w:cstheme="minorHAnsi"/>
          <w:sz w:val="21"/>
          <w:szCs w:val="21"/>
        </w:rPr>
        <w:t>, 645 F.2d 252, 256 (5</w:t>
      </w:r>
      <w:r w:rsidR="00316CEB" w:rsidRPr="003307B3">
        <w:rPr>
          <w:rFonts w:cstheme="minorHAnsi"/>
          <w:sz w:val="21"/>
          <w:szCs w:val="21"/>
          <w:vertAlign w:val="superscript"/>
        </w:rPr>
        <w:t>th</w:t>
      </w:r>
      <w:r w:rsidR="00316CEB" w:rsidRPr="003307B3">
        <w:rPr>
          <w:rFonts w:cstheme="minorHAnsi"/>
          <w:sz w:val="21"/>
          <w:szCs w:val="21"/>
        </w:rPr>
        <w:t xml:space="preserve"> Cir. 1981</w:t>
      </w:r>
      <w:r w:rsidR="00811FCD" w:rsidRPr="003307B3">
        <w:rPr>
          <w:rFonts w:cstheme="minorHAnsi"/>
          <w:sz w:val="21"/>
          <w:szCs w:val="21"/>
        </w:rPr>
        <w:t>) (</w:t>
      </w:r>
      <w:r w:rsidR="00316CEB" w:rsidRPr="003307B3">
        <w:rPr>
          <w:rFonts w:cstheme="minorHAnsi"/>
          <w:sz w:val="21"/>
          <w:szCs w:val="21"/>
        </w:rPr>
        <w:t xml:space="preserve">court ruled that beeper attached to van parked in public was not a search); </w:t>
      </w:r>
      <w:r w:rsidR="00B00088" w:rsidRPr="003307B3">
        <w:rPr>
          <w:rFonts w:cstheme="minorHAnsi"/>
          <w:sz w:val="21"/>
          <w:szCs w:val="21"/>
          <w:u w:val="single"/>
        </w:rPr>
        <w:t>United States v. Maynard,</w:t>
      </w:r>
      <w:r w:rsidR="00B00088" w:rsidRPr="003307B3">
        <w:rPr>
          <w:rFonts w:cstheme="minorHAnsi"/>
          <w:sz w:val="21"/>
          <w:szCs w:val="21"/>
        </w:rPr>
        <w:t xml:space="preserve"> 615 F.3d 544, 552 (D.C. Cir. 2010</w:t>
      </w:r>
      <w:proofErr w:type="gramStart"/>
      <w:r w:rsidR="00B00088" w:rsidRPr="003307B3">
        <w:rPr>
          <w:rFonts w:cstheme="minorHAnsi"/>
          <w:sz w:val="21"/>
          <w:szCs w:val="21"/>
        </w:rPr>
        <w:t>)</w:t>
      </w:r>
      <w:r w:rsidRPr="003307B3">
        <w:rPr>
          <w:rFonts w:cstheme="minorHAnsi"/>
          <w:sz w:val="21"/>
          <w:szCs w:val="21"/>
        </w:rPr>
        <w:t xml:space="preserve"> </w:t>
      </w:r>
      <w:r w:rsidR="00B00088" w:rsidRPr="003307B3">
        <w:rPr>
          <w:rFonts w:cstheme="minorHAnsi"/>
          <w:sz w:val="21"/>
          <w:szCs w:val="21"/>
        </w:rPr>
        <w:t>;</w:t>
      </w:r>
      <w:proofErr w:type="gramEnd"/>
      <w:r w:rsidR="00B00088" w:rsidRPr="003307B3">
        <w:rPr>
          <w:rFonts w:cstheme="minorHAnsi"/>
          <w:sz w:val="21"/>
          <w:szCs w:val="21"/>
        </w:rPr>
        <w:t xml:space="preserve"> </w:t>
      </w:r>
      <w:r w:rsidR="00F035F1" w:rsidRPr="003307B3">
        <w:rPr>
          <w:rFonts w:cstheme="minorHAnsi"/>
          <w:sz w:val="21"/>
          <w:szCs w:val="21"/>
          <w:u w:val="single"/>
        </w:rPr>
        <w:t>United States v. Bailey,</w:t>
      </w:r>
      <w:r w:rsidR="00F035F1" w:rsidRPr="003307B3">
        <w:rPr>
          <w:rFonts w:cstheme="minorHAnsi"/>
          <w:sz w:val="21"/>
          <w:szCs w:val="21"/>
        </w:rPr>
        <w:t xml:space="preserve"> 628 F.2d 938, 940 (6</w:t>
      </w:r>
      <w:r w:rsidR="00F035F1" w:rsidRPr="003307B3">
        <w:rPr>
          <w:rFonts w:cstheme="minorHAnsi"/>
          <w:sz w:val="21"/>
          <w:szCs w:val="21"/>
          <w:vertAlign w:val="superscript"/>
        </w:rPr>
        <w:t>th</w:t>
      </w:r>
      <w:r w:rsidR="00F035F1" w:rsidRPr="003307B3">
        <w:rPr>
          <w:rFonts w:cstheme="minorHAnsi"/>
          <w:sz w:val="21"/>
          <w:szCs w:val="21"/>
        </w:rPr>
        <w:t xml:space="preserve"> Cir. 1980).</w:t>
      </w:r>
      <w:r w:rsidRPr="003307B3">
        <w:rPr>
          <w:rFonts w:cstheme="minorHAnsi"/>
          <w:sz w:val="21"/>
          <w:szCs w:val="21"/>
        </w:rPr>
        <w:t xml:space="preserve"> Where the vehicle was parked while the unit was attached can lend itself greatly to the level of privacy the suspect should have expected. </w:t>
      </w:r>
      <w:r w:rsidR="00B00088" w:rsidRPr="003307B3">
        <w:rPr>
          <w:rFonts w:cstheme="minorHAnsi"/>
          <w:sz w:val="21"/>
          <w:szCs w:val="21"/>
          <w:u w:val="single"/>
        </w:rPr>
        <w:t>United States v. Pineda-Moreno</w:t>
      </w:r>
      <w:r w:rsidR="00B00088" w:rsidRPr="003307B3">
        <w:rPr>
          <w:rFonts w:cstheme="minorHAnsi"/>
          <w:sz w:val="21"/>
          <w:szCs w:val="21"/>
        </w:rPr>
        <w:t>, 591 F.3d 1212, 1215 (9</w:t>
      </w:r>
      <w:r w:rsidR="00B00088" w:rsidRPr="003307B3">
        <w:rPr>
          <w:rFonts w:cstheme="minorHAnsi"/>
          <w:sz w:val="21"/>
          <w:szCs w:val="21"/>
          <w:vertAlign w:val="superscript"/>
        </w:rPr>
        <w:t>th</w:t>
      </w:r>
      <w:r w:rsidR="00B00088" w:rsidRPr="003307B3">
        <w:rPr>
          <w:rFonts w:cstheme="minorHAnsi"/>
          <w:sz w:val="21"/>
          <w:szCs w:val="21"/>
        </w:rPr>
        <w:t xml:space="preserve"> Cir. 2010</w:t>
      </w:r>
      <w:r w:rsidR="00811FCD" w:rsidRPr="003307B3">
        <w:rPr>
          <w:rFonts w:cstheme="minorHAnsi"/>
          <w:sz w:val="21"/>
          <w:szCs w:val="21"/>
        </w:rPr>
        <w:t>) (</w:t>
      </w:r>
      <w:r w:rsidR="00B00088" w:rsidRPr="003307B3">
        <w:rPr>
          <w:rFonts w:cstheme="minorHAnsi"/>
          <w:sz w:val="21"/>
          <w:szCs w:val="21"/>
        </w:rPr>
        <w:t xml:space="preserve">court ruled that there was no expectation of privacy for a car parked in an open driveway). </w:t>
      </w:r>
      <w:r w:rsidRPr="003307B3">
        <w:rPr>
          <w:rFonts w:cstheme="minorHAnsi"/>
          <w:sz w:val="21"/>
          <w:szCs w:val="21"/>
        </w:rPr>
        <w:t>The type of information gathered can retroactively sustain or invalidate a w</w:t>
      </w:r>
      <w:r w:rsidR="00B00088" w:rsidRPr="003307B3">
        <w:rPr>
          <w:rFonts w:cstheme="minorHAnsi"/>
          <w:sz w:val="21"/>
          <w:szCs w:val="21"/>
        </w:rPr>
        <w:t xml:space="preserve">arrantless use of GPS. </w:t>
      </w:r>
      <w:r w:rsidR="00B00088" w:rsidRPr="003307B3">
        <w:rPr>
          <w:rFonts w:cstheme="minorHAnsi"/>
          <w:sz w:val="21"/>
          <w:szCs w:val="21"/>
          <w:u w:val="single"/>
        </w:rPr>
        <w:t>Maynard,</w:t>
      </w:r>
      <w:r w:rsidR="00B00088" w:rsidRPr="003307B3">
        <w:rPr>
          <w:rFonts w:cstheme="minorHAnsi"/>
          <w:sz w:val="21"/>
          <w:szCs w:val="21"/>
        </w:rPr>
        <w:t xml:space="preserve"> </w:t>
      </w:r>
      <w:proofErr w:type="gramStart"/>
      <w:r w:rsidR="00B00088" w:rsidRPr="003307B3">
        <w:rPr>
          <w:rFonts w:cstheme="minorHAnsi"/>
          <w:sz w:val="21"/>
          <w:szCs w:val="21"/>
        </w:rPr>
        <w:t>615 F.3d at 552</w:t>
      </w:r>
      <w:proofErr w:type="gramEnd"/>
      <w:r w:rsidR="00B00088" w:rsidRPr="003307B3">
        <w:rPr>
          <w:rFonts w:cstheme="minorHAnsi"/>
          <w:sz w:val="21"/>
          <w:szCs w:val="21"/>
        </w:rPr>
        <w:t>.</w:t>
      </w:r>
      <w:r w:rsidRPr="003307B3">
        <w:rPr>
          <w:rFonts w:cstheme="minorHAnsi"/>
          <w:sz w:val="21"/>
          <w:szCs w:val="21"/>
        </w:rPr>
        <w:t xml:space="preserve"> This is an issue of first impression for Euphoria federal court, and the court will likely look to other federal decisions when deciding the case at bar. The court will likely consider the amount of time spent tracking Mary with the GPS, the recording of her whereabouts during both suspected criminal and innocent activities, </w:t>
      </w:r>
      <w:r w:rsidR="00F779DA" w:rsidRPr="003307B3">
        <w:rPr>
          <w:rFonts w:cstheme="minorHAnsi"/>
          <w:sz w:val="21"/>
          <w:szCs w:val="21"/>
        </w:rPr>
        <w:t xml:space="preserve">with the fact that this </w:t>
      </w:r>
      <w:r w:rsidRPr="003307B3">
        <w:rPr>
          <w:rFonts w:cstheme="minorHAnsi"/>
          <w:sz w:val="21"/>
          <w:szCs w:val="21"/>
        </w:rPr>
        <w:t xml:space="preserve">sustained following (only within Euphoria) could have been accomplished through traditional surveillance methods. </w:t>
      </w:r>
      <w:r w:rsidR="00B00088" w:rsidRPr="003307B3">
        <w:rPr>
          <w:rFonts w:cstheme="minorHAnsi"/>
          <w:sz w:val="21"/>
          <w:szCs w:val="21"/>
          <w:u w:val="single"/>
        </w:rPr>
        <w:t>Maynard,</w:t>
      </w:r>
      <w:r w:rsidR="00B00088" w:rsidRPr="003307B3">
        <w:rPr>
          <w:rFonts w:cstheme="minorHAnsi"/>
          <w:sz w:val="21"/>
          <w:szCs w:val="21"/>
        </w:rPr>
        <w:t xml:space="preserve"> </w:t>
      </w:r>
      <w:proofErr w:type="gramStart"/>
      <w:r w:rsidR="00B00088" w:rsidRPr="003307B3">
        <w:rPr>
          <w:rFonts w:cstheme="minorHAnsi"/>
          <w:sz w:val="21"/>
          <w:szCs w:val="21"/>
        </w:rPr>
        <w:t>615 F.3d at 554</w:t>
      </w:r>
      <w:proofErr w:type="gramEnd"/>
      <w:r w:rsidR="00B00088" w:rsidRPr="003307B3">
        <w:rPr>
          <w:rFonts w:cstheme="minorHAnsi"/>
          <w:sz w:val="21"/>
          <w:szCs w:val="21"/>
        </w:rPr>
        <w:t>.</w:t>
      </w:r>
      <w:r w:rsidRPr="003307B3">
        <w:rPr>
          <w:rFonts w:cstheme="minorHAnsi"/>
          <w:sz w:val="21"/>
          <w:szCs w:val="21"/>
        </w:rPr>
        <w:t xml:space="preserve"> While the installation of the device will likely be deemed not to violate the </w:t>
      </w:r>
      <w:r w:rsidR="00811FCD" w:rsidRPr="003307B3">
        <w:rPr>
          <w:rFonts w:cstheme="minorHAnsi"/>
          <w:sz w:val="21"/>
          <w:szCs w:val="21"/>
        </w:rPr>
        <w:t>Fourth</w:t>
      </w:r>
      <w:r w:rsidRPr="003307B3">
        <w:rPr>
          <w:rFonts w:cstheme="minorHAnsi"/>
          <w:sz w:val="21"/>
          <w:szCs w:val="21"/>
        </w:rPr>
        <w:t xml:space="preserve"> </w:t>
      </w:r>
      <w:r w:rsidR="00811FCD" w:rsidRPr="003307B3">
        <w:rPr>
          <w:rFonts w:cstheme="minorHAnsi"/>
          <w:sz w:val="21"/>
          <w:szCs w:val="21"/>
        </w:rPr>
        <w:t>Amendment</w:t>
      </w:r>
      <w:r w:rsidRPr="003307B3">
        <w:rPr>
          <w:rFonts w:cstheme="minorHAnsi"/>
          <w:sz w:val="21"/>
          <w:szCs w:val="21"/>
        </w:rPr>
        <w:t>, the intimate picture of Mary’s life created by the con</w:t>
      </w:r>
      <w:r w:rsidR="00F035F1" w:rsidRPr="003307B3">
        <w:rPr>
          <w:rFonts w:cstheme="minorHAnsi"/>
          <w:sz w:val="21"/>
          <w:szCs w:val="21"/>
        </w:rPr>
        <w:t xml:space="preserve">tinuous monitoring will. </w:t>
      </w:r>
      <w:r w:rsidR="00F035F1" w:rsidRPr="003307B3">
        <w:rPr>
          <w:rFonts w:cstheme="minorHAnsi"/>
          <w:sz w:val="21"/>
          <w:szCs w:val="21"/>
          <w:u w:val="single"/>
        </w:rPr>
        <w:t>Bailey,</w:t>
      </w:r>
      <w:r w:rsidR="00F035F1" w:rsidRPr="003307B3">
        <w:rPr>
          <w:rFonts w:cstheme="minorHAnsi"/>
          <w:sz w:val="21"/>
          <w:szCs w:val="21"/>
        </w:rPr>
        <w:t xml:space="preserve"> </w:t>
      </w:r>
      <w:proofErr w:type="gramStart"/>
      <w:r w:rsidR="00F035F1" w:rsidRPr="003307B3">
        <w:rPr>
          <w:rFonts w:cstheme="minorHAnsi"/>
          <w:sz w:val="21"/>
          <w:szCs w:val="21"/>
        </w:rPr>
        <w:t>628 F.2d at 942</w:t>
      </w:r>
      <w:proofErr w:type="gramEnd"/>
      <w:r w:rsidR="00F035F1" w:rsidRPr="003307B3">
        <w:rPr>
          <w:rFonts w:cstheme="minorHAnsi"/>
          <w:sz w:val="21"/>
          <w:szCs w:val="21"/>
        </w:rPr>
        <w:t>.</w:t>
      </w:r>
      <w:r w:rsidRPr="003307B3">
        <w:rPr>
          <w:rFonts w:cstheme="minorHAnsi"/>
          <w:sz w:val="21"/>
          <w:szCs w:val="21"/>
        </w:rPr>
        <w:t xml:space="preserve"> The court will likely rule that this level of scrutiny using a device was indeed a search, and a violation of Mary’s legitimate</w:t>
      </w:r>
      <w:r w:rsidR="00F035F1" w:rsidRPr="003307B3">
        <w:rPr>
          <w:rFonts w:cstheme="minorHAnsi"/>
          <w:sz w:val="21"/>
          <w:szCs w:val="21"/>
        </w:rPr>
        <w:t xml:space="preserve"> expectation of privacy</w:t>
      </w:r>
      <w:r w:rsidRPr="003307B3">
        <w:rPr>
          <w:rFonts w:cstheme="minorHAnsi"/>
          <w:sz w:val="21"/>
          <w:szCs w:val="21"/>
        </w:rPr>
        <w:t>, and required a warrant or some sustainable le</w:t>
      </w:r>
      <w:r w:rsidR="00316CEB" w:rsidRPr="003307B3">
        <w:rPr>
          <w:rFonts w:cstheme="minorHAnsi"/>
          <w:sz w:val="21"/>
          <w:szCs w:val="21"/>
        </w:rPr>
        <w:t xml:space="preserve">vel of probable cause. </w:t>
      </w:r>
      <w:r w:rsidR="00316CEB" w:rsidRPr="003307B3">
        <w:rPr>
          <w:rFonts w:cstheme="minorHAnsi"/>
          <w:sz w:val="21"/>
          <w:szCs w:val="21"/>
          <w:u w:val="single"/>
        </w:rPr>
        <w:t>Michael,</w:t>
      </w:r>
      <w:r w:rsidR="00316CEB" w:rsidRPr="003307B3">
        <w:rPr>
          <w:rFonts w:cstheme="minorHAnsi"/>
          <w:sz w:val="21"/>
          <w:szCs w:val="21"/>
        </w:rPr>
        <w:t xml:space="preserve"> </w:t>
      </w:r>
      <w:proofErr w:type="gramStart"/>
      <w:r w:rsidR="00316CEB" w:rsidRPr="003307B3">
        <w:rPr>
          <w:rFonts w:cstheme="minorHAnsi"/>
          <w:sz w:val="21"/>
          <w:szCs w:val="21"/>
        </w:rPr>
        <w:t>645 F.2d at 256</w:t>
      </w:r>
      <w:proofErr w:type="gramEnd"/>
      <w:r w:rsidR="00316CEB" w:rsidRPr="003307B3">
        <w:rPr>
          <w:rFonts w:cstheme="minorHAnsi"/>
          <w:sz w:val="21"/>
          <w:szCs w:val="21"/>
        </w:rPr>
        <w:t>;</w:t>
      </w:r>
      <w:r w:rsidR="003B5403" w:rsidRPr="003307B3">
        <w:rPr>
          <w:rFonts w:cstheme="minorHAnsi"/>
          <w:sz w:val="21"/>
          <w:szCs w:val="21"/>
        </w:rPr>
        <w:t xml:space="preserve"> </w:t>
      </w:r>
      <w:proofErr w:type="spellStart"/>
      <w:r w:rsidR="003B5403" w:rsidRPr="003307B3">
        <w:rPr>
          <w:rFonts w:cstheme="minorHAnsi"/>
          <w:sz w:val="21"/>
          <w:szCs w:val="21"/>
          <w:u w:val="single"/>
        </w:rPr>
        <w:t>Karo</w:t>
      </w:r>
      <w:proofErr w:type="spellEnd"/>
      <w:r w:rsidR="003B5403" w:rsidRPr="003307B3">
        <w:rPr>
          <w:rFonts w:cstheme="minorHAnsi"/>
          <w:sz w:val="21"/>
          <w:szCs w:val="21"/>
        </w:rPr>
        <w:t>, 468 U.S. at 708.</w:t>
      </w:r>
    </w:p>
    <w:p w:rsidR="00DF011D" w:rsidRPr="003307B3" w:rsidRDefault="00DF011D" w:rsidP="00C2066F">
      <w:pPr>
        <w:spacing w:after="0" w:line="480" w:lineRule="auto"/>
        <w:rPr>
          <w:rFonts w:cstheme="minorHAnsi"/>
          <w:sz w:val="21"/>
          <w:szCs w:val="21"/>
        </w:rPr>
      </w:pPr>
      <w:r w:rsidRPr="003307B3">
        <w:rPr>
          <w:rFonts w:cstheme="minorHAnsi"/>
          <w:sz w:val="21"/>
          <w:szCs w:val="21"/>
        </w:rPr>
        <w:tab/>
        <w:t xml:space="preserve">In </w:t>
      </w:r>
      <w:r w:rsidRPr="003307B3">
        <w:rPr>
          <w:rFonts w:cstheme="minorHAnsi"/>
          <w:sz w:val="21"/>
          <w:szCs w:val="21"/>
          <w:u w:val="single"/>
        </w:rPr>
        <w:t>Katz</w:t>
      </w:r>
      <w:r w:rsidRPr="003307B3">
        <w:rPr>
          <w:rFonts w:cstheme="minorHAnsi"/>
          <w:sz w:val="21"/>
          <w:szCs w:val="21"/>
        </w:rPr>
        <w:t xml:space="preserve">, the </w:t>
      </w:r>
      <w:r w:rsidR="00F42D66" w:rsidRPr="003307B3">
        <w:rPr>
          <w:rFonts w:cstheme="minorHAnsi"/>
          <w:sz w:val="21"/>
          <w:szCs w:val="21"/>
        </w:rPr>
        <w:t>Court</w:t>
      </w:r>
      <w:r w:rsidRPr="003307B3">
        <w:rPr>
          <w:rFonts w:cstheme="minorHAnsi"/>
          <w:sz w:val="21"/>
          <w:szCs w:val="21"/>
        </w:rPr>
        <w:t xml:space="preserve"> held that a search could occur, and violate constitutional standards, without any physical contact or penetration of the premises.</w:t>
      </w:r>
      <w:r w:rsidR="00640FE5" w:rsidRPr="003307B3">
        <w:rPr>
          <w:rFonts w:cstheme="minorHAnsi"/>
          <w:sz w:val="21"/>
          <w:szCs w:val="21"/>
        </w:rPr>
        <w:t xml:space="preserve"> </w:t>
      </w:r>
      <w:proofErr w:type="gramStart"/>
      <w:r w:rsidR="00640FE5" w:rsidRPr="003307B3">
        <w:rPr>
          <w:rFonts w:cstheme="minorHAnsi"/>
          <w:sz w:val="21"/>
          <w:szCs w:val="21"/>
        </w:rPr>
        <w:t>389 U.S. at 351.</w:t>
      </w:r>
      <w:proofErr w:type="gramEnd"/>
      <w:r w:rsidRPr="003307B3">
        <w:rPr>
          <w:rFonts w:cstheme="minorHAnsi"/>
          <w:sz w:val="21"/>
          <w:szCs w:val="21"/>
        </w:rPr>
        <w:t xml:space="preserve"> In this case the defendant was convicted of transmitting gambling information on the strength of evidence gathered using electronic listening devices attached to a phone booth.</w:t>
      </w:r>
      <w:r w:rsidR="00640FE5" w:rsidRPr="003307B3">
        <w:rPr>
          <w:rFonts w:cstheme="minorHAnsi"/>
          <w:sz w:val="21"/>
          <w:szCs w:val="21"/>
        </w:rPr>
        <w:t xml:space="preserve"> </w:t>
      </w:r>
      <w:proofErr w:type="gramStart"/>
      <w:r w:rsidR="00640FE5" w:rsidRPr="003307B3">
        <w:rPr>
          <w:rFonts w:cstheme="minorHAnsi"/>
          <w:sz w:val="21"/>
          <w:szCs w:val="21"/>
          <w:u w:val="single"/>
        </w:rPr>
        <w:t>Id.</w:t>
      </w:r>
      <w:r w:rsidR="00640FE5" w:rsidRPr="003307B3">
        <w:rPr>
          <w:rFonts w:cstheme="minorHAnsi"/>
          <w:sz w:val="21"/>
          <w:szCs w:val="21"/>
        </w:rPr>
        <w:t xml:space="preserve"> at 348.</w:t>
      </w:r>
      <w:proofErr w:type="gramEnd"/>
      <w:r w:rsidRPr="003307B3">
        <w:rPr>
          <w:rFonts w:cstheme="minorHAnsi"/>
          <w:sz w:val="21"/>
          <w:szCs w:val="21"/>
        </w:rPr>
        <w:t xml:space="preserve"> The </w:t>
      </w:r>
      <w:r w:rsidR="00F42D66" w:rsidRPr="003307B3">
        <w:rPr>
          <w:rFonts w:cstheme="minorHAnsi"/>
          <w:sz w:val="21"/>
          <w:szCs w:val="21"/>
        </w:rPr>
        <w:t>Court</w:t>
      </w:r>
      <w:r w:rsidRPr="003307B3">
        <w:rPr>
          <w:rFonts w:cstheme="minorHAnsi"/>
          <w:sz w:val="21"/>
          <w:szCs w:val="21"/>
        </w:rPr>
        <w:t xml:space="preserve"> ruled that there was a reasonable expectation of privacy in the use of a phone booth, and so a non-judicially sanctioned eavesdropping was an unreasonable search within the </w:t>
      </w:r>
      <w:r w:rsidRPr="003307B3">
        <w:rPr>
          <w:rFonts w:cstheme="minorHAnsi"/>
          <w:sz w:val="21"/>
          <w:szCs w:val="21"/>
        </w:rPr>
        <w:lastRenderedPageBreak/>
        <w:t xml:space="preserve">fourth </w:t>
      </w:r>
      <w:r w:rsidR="00811FCD" w:rsidRPr="003307B3">
        <w:rPr>
          <w:rFonts w:cstheme="minorHAnsi"/>
          <w:sz w:val="21"/>
          <w:szCs w:val="21"/>
        </w:rPr>
        <w:t>Amendment</w:t>
      </w:r>
      <w:r w:rsidRPr="003307B3">
        <w:rPr>
          <w:rFonts w:cstheme="minorHAnsi"/>
          <w:sz w:val="21"/>
          <w:szCs w:val="21"/>
        </w:rPr>
        <w:t>.</w:t>
      </w:r>
      <w:r w:rsidR="00640FE5" w:rsidRPr="003307B3">
        <w:rPr>
          <w:rFonts w:cstheme="minorHAnsi"/>
          <w:sz w:val="21"/>
          <w:szCs w:val="21"/>
        </w:rPr>
        <w:t xml:space="preserve"> </w:t>
      </w:r>
      <w:proofErr w:type="gramStart"/>
      <w:r w:rsidR="00640FE5" w:rsidRPr="003307B3">
        <w:rPr>
          <w:rFonts w:cstheme="minorHAnsi"/>
          <w:sz w:val="21"/>
          <w:szCs w:val="21"/>
          <w:u w:val="single"/>
        </w:rPr>
        <w:t>Id.</w:t>
      </w:r>
      <w:r w:rsidR="00640FE5" w:rsidRPr="003307B3">
        <w:rPr>
          <w:rFonts w:cstheme="minorHAnsi"/>
          <w:sz w:val="21"/>
          <w:szCs w:val="21"/>
        </w:rPr>
        <w:t xml:space="preserve"> at 352.</w:t>
      </w:r>
      <w:proofErr w:type="gramEnd"/>
      <w:r w:rsidRPr="003307B3">
        <w:rPr>
          <w:rFonts w:cstheme="minorHAnsi"/>
          <w:sz w:val="21"/>
          <w:szCs w:val="21"/>
        </w:rPr>
        <w:t xml:space="preserve"> In </w:t>
      </w:r>
      <w:proofErr w:type="spellStart"/>
      <w:r w:rsidRPr="003307B3">
        <w:rPr>
          <w:rFonts w:cstheme="minorHAnsi"/>
          <w:sz w:val="21"/>
          <w:szCs w:val="21"/>
          <w:u w:val="single"/>
        </w:rPr>
        <w:t>Mapp</w:t>
      </w:r>
      <w:proofErr w:type="spellEnd"/>
      <w:r w:rsidRPr="003307B3">
        <w:rPr>
          <w:rFonts w:cstheme="minorHAnsi"/>
          <w:sz w:val="21"/>
          <w:szCs w:val="21"/>
        </w:rPr>
        <w:t xml:space="preserve">, the </w:t>
      </w:r>
      <w:r w:rsidR="00F42D66" w:rsidRPr="003307B3">
        <w:rPr>
          <w:rFonts w:cstheme="minorHAnsi"/>
          <w:sz w:val="21"/>
          <w:szCs w:val="21"/>
        </w:rPr>
        <w:t>Court</w:t>
      </w:r>
      <w:r w:rsidRPr="003307B3">
        <w:rPr>
          <w:rFonts w:cstheme="minorHAnsi"/>
          <w:sz w:val="21"/>
          <w:szCs w:val="21"/>
        </w:rPr>
        <w:t xml:space="preserve"> held that the exclusionary rule applies to states under the </w:t>
      </w:r>
      <w:r w:rsidR="00811FCD" w:rsidRPr="003307B3">
        <w:rPr>
          <w:rFonts w:cstheme="minorHAnsi"/>
          <w:sz w:val="21"/>
          <w:szCs w:val="21"/>
        </w:rPr>
        <w:t>Fourteenth</w:t>
      </w:r>
      <w:r w:rsidRPr="003307B3">
        <w:rPr>
          <w:rFonts w:cstheme="minorHAnsi"/>
          <w:sz w:val="21"/>
          <w:szCs w:val="21"/>
        </w:rPr>
        <w:t xml:space="preserve"> </w:t>
      </w:r>
      <w:r w:rsidR="00811FCD" w:rsidRPr="003307B3">
        <w:rPr>
          <w:rFonts w:cstheme="minorHAnsi"/>
          <w:sz w:val="21"/>
          <w:szCs w:val="21"/>
        </w:rPr>
        <w:t>Amendment</w:t>
      </w:r>
      <w:r w:rsidRPr="003307B3">
        <w:rPr>
          <w:rFonts w:cstheme="minorHAnsi"/>
          <w:sz w:val="21"/>
          <w:szCs w:val="21"/>
        </w:rPr>
        <w:t xml:space="preserve">. In this case the police conducted, what was later established as, an unreasonable search of the defendant’s home. </w:t>
      </w:r>
      <w:proofErr w:type="gramStart"/>
      <w:r w:rsidR="00465832" w:rsidRPr="003307B3">
        <w:rPr>
          <w:rFonts w:cstheme="minorHAnsi"/>
          <w:sz w:val="21"/>
          <w:szCs w:val="21"/>
        </w:rPr>
        <w:t>367 U.S. at 646.</w:t>
      </w:r>
      <w:proofErr w:type="gramEnd"/>
      <w:r w:rsidR="00465832" w:rsidRPr="003307B3">
        <w:rPr>
          <w:rFonts w:cstheme="minorHAnsi"/>
          <w:sz w:val="21"/>
          <w:szCs w:val="21"/>
        </w:rPr>
        <w:t xml:space="preserve"> </w:t>
      </w:r>
      <w:r w:rsidRPr="003307B3">
        <w:rPr>
          <w:rFonts w:cstheme="minorHAnsi"/>
          <w:sz w:val="21"/>
          <w:szCs w:val="21"/>
        </w:rPr>
        <w:t xml:space="preserve">The </w:t>
      </w:r>
      <w:r w:rsidR="00F42D66" w:rsidRPr="003307B3">
        <w:rPr>
          <w:rFonts w:cstheme="minorHAnsi"/>
          <w:sz w:val="21"/>
          <w:szCs w:val="21"/>
        </w:rPr>
        <w:t>Court</w:t>
      </w:r>
      <w:r w:rsidRPr="003307B3">
        <w:rPr>
          <w:rFonts w:cstheme="minorHAnsi"/>
          <w:sz w:val="21"/>
          <w:szCs w:val="21"/>
        </w:rPr>
        <w:t xml:space="preserve"> ruled that the general presumption is that all searches require a warrant, unless given to specific exceptions.</w:t>
      </w:r>
      <w:r w:rsidR="00465832" w:rsidRPr="003307B3">
        <w:rPr>
          <w:rFonts w:cstheme="minorHAnsi"/>
          <w:sz w:val="21"/>
          <w:szCs w:val="21"/>
        </w:rPr>
        <w:t xml:space="preserve"> </w:t>
      </w:r>
      <w:proofErr w:type="gramStart"/>
      <w:r w:rsidR="00465832" w:rsidRPr="003307B3">
        <w:rPr>
          <w:rFonts w:cstheme="minorHAnsi"/>
          <w:sz w:val="21"/>
          <w:szCs w:val="21"/>
          <w:u w:val="single"/>
        </w:rPr>
        <w:t>Id.</w:t>
      </w:r>
      <w:r w:rsidRPr="003307B3">
        <w:rPr>
          <w:rFonts w:cstheme="minorHAnsi"/>
          <w:sz w:val="21"/>
          <w:szCs w:val="21"/>
        </w:rPr>
        <w:t xml:space="preserve"> </w:t>
      </w:r>
      <w:r w:rsidR="00D06056" w:rsidRPr="003307B3">
        <w:rPr>
          <w:rFonts w:cstheme="minorHAnsi"/>
          <w:sz w:val="21"/>
          <w:szCs w:val="21"/>
        </w:rPr>
        <w:t>at 649.</w:t>
      </w:r>
      <w:proofErr w:type="gramEnd"/>
      <w:r w:rsidR="00D06056" w:rsidRPr="003307B3">
        <w:rPr>
          <w:rFonts w:cstheme="minorHAnsi"/>
          <w:sz w:val="21"/>
          <w:szCs w:val="21"/>
        </w:rPr>
        <w:t xml:space="preserve"> </w:t>
      </w:r>
      <w:r w:rsidRPr="003307B3">
        <w:rPr>
          <w:rFonts w:cstheme="minorHAnsi"/>
          <w:sz w:val="21"/>
          <w:szCs w:val="21"/>
        </w:rPr>
        <w:t xml:space="preserve">The </w:t>
      </w:r>
      <w:r w:rsidR="00F42D66" w:rsidRPr="003307B3">
        <w:rPr>
          <w:rFonts w:cstheme="minorHAnsi"/>
          <w:sz w:val="21"/>
          <w:szCs w:val="21"/>
        </w:rPr>
        <w:t>Court</w:t>
      </w:r>
      <w:r w:rsidRPr="003307B3">
        <w:rPr>
          <w:rFonts w:cstheme="minorHAnsi"/>
          <w:sz w:val="21"/>
          <w:szCs w:val="21"/>
        </w:rPr>
        <w:t xml:space="preserve"> ultimately held that the exclusionary rule allowed the unconstitutionally gathered evidence to be suppressed in court, overturning the defendant’s conviction.</w:t>
      </w:r>
      <w:r w:rsidR="00465832" w:rsidRPr="003307B3">
        <w:rPr>
          <w:rFonts w:cstheme="minorHAnsi"/>
          <w:sz w:val="21"/>
          <w:szCs w:val="21"/>
        </w:rPr>
        <w:t xml:space="preserve"> </w:t>
      </w:r>
      <w:proofErr w:type="gramStart"/>
      <w:r w:rsidR="00465832" w:rsidRPr="003307B3">
        <w:rPr>
          <w:rFonts w:cstheme="minorHAnsi"/>
          <w:sz w:val="21"/>
          <w:szCs w:val="21"/>
        </w:rPr>
        <w:t>367 U.S. at 649.</w:t>
      </w:r>
      <w:proofErr w:type="gramEnd"/>
      <w:r w:rsidR="00465832" w:rsidRPr="003307B3">
        <w:rPr>
          <w:rFonts w:cstheme="minorHAnsi"/>
          <w:sz w:val="21"/>
          <w:szCs w:val="21"/>
        </w:rPr>
        <w:t xml:space="preserve"> </w:t>
      </w:r>
      <w:r w:rsidRPr="003307B3">
        <w:rPr>
          <w:rFonts w:cstheme="minorHAnsi"/>
          <w:sz w:val="21"/>
          <w:szCs w:val="21"/>
        </w:rPr>
        <w:t xml:space="preserve">In </w:t>
      </w:r>
      <w:proofErr w:type="spellStart"/>
      <w:r w:rsidRPr="003307B3">
        <w:rPr>
          <w:rFonts w:cstheme="minorHAnsi"/>
          <w:sz w:val="21"/>
          <w:szCs w:val="21"/>
          <w:u w:val="single"/>
        </w:rPr>
        <w:t>Knotts</w:t>
      </w:r>
      <w:proofErr w:type="spellEnd"/>
      <w:r w:rsidRPr="003307B3">
        <w:rPr>
          <w:rFonts w:cstheme="minorHAnsi"/>
          <w:sz w:val="21"/>
          <w:szCs w:val="21"/>
        </w:rPr>
        <w:t xml:space="preserve">, the </w:t>
      </w:r>
      <w:r w:rsidR="00F42D66" w:rsidRPr="003307B3">
        <w:rPr>
          <w:rFonts w:cstheme="minorHAnsi"/>
          <w:sz w:val="21"/>
          <w:szCs w:val="21"/>
        </w:rPr>
        <w:t>Court</w:t>
      </w:r>
      <w:r w:rsidR="00E71B88" w:rsidRPr="003307B3">
        <w:rPr>
          <w:rFonts w:cstheme="minorHAnsi"/>
          <w:sz w:val="21"/>
          <w:szCs w:val="21"/>
        </w:rPr>
        <w:t xml:space="preserve"> held that monitoring</w:t>
      </w:r>
      <w:r w:rsidRPr="003307B3">
        <w:rPr>
          <w:rFonts w:cstheme="minorHAnsi"/>
          <w:sz w:val="21"/>
          <w:szCs w:val="21"/>
        </w:rPr>
        <w:t xml:space="preserve"> a radio transmitter without a warrant is not a search. In this case the police had conspired with a chemical seller to place a radio transmitter into a container of chloroform being sold to a suspected manufacturer of drugs.</w:t>
      </w:r>
      <w:r w:rsidR="009A12EE" w:rsidRPr="003307B3">
        <w:rPr>
          <w:rFonts w:cstheme="minorHAnsi"/>
          <w:sz w:val="21"/>
          <w:szCs w:val="21"/>
        </w:rPr>
        <w:t xml:space="preserve"> </w:t>
      </w:r>
      <w:proofErr w:type="gramStart"/>
      <w:r w:rsidR="009A12EE" w:rsidRPr="003307B3">
        <w:rPr>
          <w:rFonts w:cstheme="minorHAnsi"/>
          <w:sz w:val="21"/>
          <w:szCs w:val="21"/>
        </w:rPr>
        <w:t>460 U.S. at 277.</w:t>
      </w:r>
      <w:proofErr w:type="gramEnd"/>
      <w:r w:rsidRPr="003307B3">
        <w:rPr>
          <w:rFonts w:cstheme="minorHAnsi"/>
          <w:sz w:val="21"/>
          <w:szCs w:val="21"/>
        </w:rPr>
        <w:t xml:space="preserve"> The police then followed the transmitter’s signal to the suspect’s cabin, where he was suspected of producing the illegal substances.</w:t>
      </w:r>
      <w:r w:rsidR="009A12EE" w:rsidRPr="003307B3">
        <w:rPr>
          <w:rFonts w:cstheme="minorHAnsi"/>
          <w:sz w:val="21"/>
          <w:szCs w:val="21"/>
        </w:rPr>
        <w:t xml:space="preserve"> </w:t>
      </w:r>
      <w:proofErr w:type="gramStart"/>
      <w:r w:rsidR="009A12EE" w:rsidRPr="003307B3">
        <w:rPr>
          <w:rFonts w:cstheme="minorHAnsi"/>
          <w:sz w:val="21"/>
          <w:szCs w:val="21"/>
          <w:u w:val="single"/>
        </w:rPr>
        <w:t>Id,</w:t>
      </w:r>
      <w:r w:rsidR="009A12EE" w:rsidRPr="003307B3">
        <w:rPr>
          <w:rFonts w:cstheme="minorHAnsi"/>
          <w:sz w:val="21"/>
          <w:szCs w:val="21"/>
        </w:rPr>
        <w:t xml:space="preserve"> at 278.</w:t>
      </w:r>
      <w:proofErr w:type="gramEnd"/>
      <w:r w:rsidRPr="003307B3">
        <w:rPr>
          <w:rFonts w:cstheme="minorHAnsi"/>
          <w:sz w:val="21"/>
          <w:szCs w:val="21"/>
        </w:rPr>
        <w:t xml:space="preserve"> The defendant motion</w:t>
      </w:r>
      <w:r w:rsidR="009A12EE" w:rsidRPr="003307B3">
        <w:rPr>
          <w:rFonts w:cstheme="minorHAnsi"/>
          <w:sz w:val="21"/>
          <w:szCs w:val="21"/>
        </w:rPr>
        <w:t>ed</w:t>
      </w:r>
      <w:r w:rsidRPr="003307B3">
        <w:rPr>
          <w:rFonts w:cstheme="minorHAnsi"/>
          <w:sz w:val="21"/>
          <w:szCs w:val="21"/>
        </w:rPr>
        <w:t xml:space="preserve"> to have the </w:t>
      </w:r>
      <w:r w:rsidR="00E71B88" w:rsidRPr="003307B3">
        <w:rPr>
          <w:rFonts w:cstheme="minorHAnsi"/>
          <w:sz w:val="21"/>
          <w:szCs w:val="21"/>
        </w:rPr>
        <w:t>evidence suppressed based on the</w:t>
      </w:r>
      <w:r w:rsidRPr="003307B3">
        <w:rPr>
          <w:rFonts w:cstheme="minorHAnsi"/>
          <w:sz w:val="21"/>
          <w:szCs w:val="21"/>
        </w:rPr>
        <w:t xml:space="preserve"> monitoring without a warrant, however the </w:t>
      </w:r>
      <w:r w:rsidR="00F42D66" w:rsidRPr="003307B3">
        <w:rPr>
          <w:rFonts w:cstheme="minorHAnsi"/>
          <w:sz w:val="21"/>
          <w:szCs w:val="21"/>
        </w:rPr>
        <w:t>Court</w:t>
      </w:r>
      <w:r w:rsidRPr="003307B3">
        <w:rPr>
          <w:rFonts w:cstheme="minorHAnsi"/>
          <w:sz w:val="21"/>
          <w:szCs w:val="21"/>
        </w:rPr>
        <w:t xml:space="preserve"> held that since the tracking signals were a natural replacement of visual surveillance, there was no expe</w:t>
      </w:r>
      <w:r w:rsidR="00E71B88" w:rsidRPr="003307B3">
        <w:rPr>
          <w:rFonts w:cstheme="minorHAnsi"/>
          <w:sz w:val="21"/>
          <w:szCs w:val="21"/>
        </w:rPr>
        <w:t>ctation of privacy, and</w:t>
      </w:r>
      <w:r w:rsidRPr="003307B3">
        <w:rPr>
          <w:rFonts w:cstheme="minorHAnsi"/>
          <w:sz w:val="21"/>
          <w:szCs w:val="21"/>
        </w:rPr>
        <w:t xml:space="preserve"> monitoring was not a search. </w:t>
      </w:r>
      <w:proofErr w:type="gramStart"/>
      <w:r w:rsidR="009A12EE" w:rsidRPr="003307B3">
        <w:rPr>
          <w:rFonts w:cstheme="minorHAnsi"/>
          <w:sz w:val="21"/>
          <w:szCs w:val="21"/>
          <w:u w:val="single"/>
        </w:rPr>
        <w:t>Id.</w:t>
      </w:r>
      <w:r w:rsidR="009A12EE" w:rsidRPr="003307B3">
        <w:rPr>
          <w:rFonts w:cstheme="minorHAnsi"/>
          <w:sz w:val="21"/>
          <w:szCs w:val="21"/>
        </w:rPr>
        <w:t xml:space="preserve"> at 276.</w:t>
      </w:r>
      <w:proofErr w:type="gramEnd"/>
    </w:p>
    <w:p w:rsidR="00DF011D" w:rsidRPr="003307B3" w:rsidRDefault="00DF011D" w:rsidP="00C2066F">
      <w:pPr>
        <w:spacing w:after="0" w:line="480" w:lineRule="auto"/>
        <w:ind w:firstLine="720"/>
        <w:rPr>
          <w:rFonts w:cstheme="minorHAnsi"/>
          <w:sz w:val="21"/>
          <w:szCs w:val="21"/>
        </w:rPr>
      </w:pPr>
      <w:r w:rsidRPr="003307B3">
        <w:rPr>
          <w:rFonts w:cstheme="minorHAnsi"/>
          <w:sz w:val="21"/>
          <w:szCs w:val="21"/>
        </w:rPr>
        <w:t xml:space="preserve">In </w:t>
      </w:r>
      <w:r w:rsidRPr="003307B3">
        <w:rPr>
          <w:rFonts w:cstheme="minorHAnsi"/>
          <w:sz w:val="21"/>
          <w:szCs w:val="21"/>
          <w:u w:val="single"/>
        </w:rPr>
        <w:t>Garcia</w:t>
      </w:r>
      <w:r w:rsidRPr="003307B3">
        <w:rPr>
          <w:rFonts w:cstheme="minorHAnsi"/>
          <w:sz w:val="21"/>
          <w:szCs w:val="21"/>
        </w:rPr>
        <w:t xml:space="preserve">, the court held that the attachment of a GPS tracking device to an </w:t>
      </w:r>
      <w:r w:rsidR="00E71B88" w:rsidRPr="003307B3">
        <w:rPr>
          <w:rFonts w:cstheme="minorHAnsi"/>
          <w:sz w:val="21"/>
          <w:szCs w:val="21"/>
        </w:rPr>
        <w:t>automobile, without a warrant, wa</w:t>
      </w:r>
      <w:r w:rsidRPr="003307B3">
        <w:rPr>
          <w:rFonts w:cstheme="minorHAnsi"/>
          <w:sz w:val="21"/>
          <w:szCs w:val="21"/>
        </w:rPr>
        <w:t xml:space="preserve">s </w:t>
      </w:r>
      <w:r w:rsidR="00E71B88" w:rsidRPr="003307B3">
        <w:rPr>
          <w:rFonts w:cstheme="minorHAnsi"/>
          <w:sz w:val="21"/>
          <w:szCs w:val="21"/>
        </w:rPr>
        <w:t>not a search under the F</w:t>
      </w:r>
      <w:r w:rsidRPr="003307B3">
        <w:rPr>
          <w:rFonts w:cstheme="minorHAnsi"/>
          <w:sz w:val="21"/>
          <w:szCs w:val="21"/>
        </w:rPr>
        <w:t xml:space="preserve">ourth </w:t>
      </w:r>
      <w:r w:rsidR="00811FCD" w:rsidRPr="003307B3">
        <w:rPr>
          <w:rFonts w:cstheme="minorHAnsi"/>
          <w:sz w:val="21"/>
          <w:szCs w:val="21"/>
        </w:rPr>
        <w:t>Amendment</w:t>
      </w:r>
      <w:r w:rsidRPr="003307B3">
        <w:rPr>
          <w:rFonts w:cstheme="minorHAnsi"/>
          <w:sz w:val="21"/>
          <w:szCs w:val="21"/>
        </w:rPr>
        <w:t>.</w:t>
      </w:r>
      <w:r w:rsidR="000A623C" w:rsidRPr="003307B3">
        <w:rPr>
          <w:rFonts w:cstheme="minorHAnsi"/>
          <w:sz w:val="21"/>
          <w:szCs w:val="21"/>
        </w:rPr>
        <w:t xml:space="preserve"> </w:t>
      </w:r>
      <w:proofErr w:type="gramStart"/>
      <w:r w:rsidR="000A623C" w:rsidRPr="003307B3">
        <w:rPr>
          <w:rFonts w:cstheme="minorHAnsi"/>
          <w:sz w:val="21"/>
          <w:szCs w:val="21"/>
        </w:rPr>
        <w:t>474 F.3d at 995.</w:t>
      </w:r>
      <w:proofErr w:type="gramEnd"/>
      <w:r w:rsidRPr="003307B3">
        <w:rPr>
          <w:rFonts w:cstheme="minorHAnsi"/>
          <w:sz w:val="21"/>
          <w:szCs w:val="21"/>
        </w:rPr>
        <w:t xml:space="preserve"> In this case, on the strength of an informer’s tip, police used a GPS tracker to survey the movements of suspected drug makers.</w:t>
      </w:r>
      <w:r w:rsidR="000A623C" w:rsidRPr="003307B3">
        <w:rPr>
          <w:rFonts w:cstheme="minorHAnsi"/>
          <w:sz w:val="21"/>
          <w:szCs w:val="21"/>
        </w:rPr>
        <w:t xml:space="preserve"> </w:t>
      </w:r>
      <w:proofErr w:type="gramStart"/>
      <w:r w:rsidR="000A623C" w:rsidRPr="003307B3">
        <w:rPr>
          <w:rFonts w:cstheme="minorHAnsi"/>
          <w:sz w:val="21"/>
          <w:szCs w:val="21"/>
          <w:u w:val="single"/>
        </w:rPr>
        <w:t>Id.</w:t>
      </w:r>
      <w:r w:rsidR="000A623C" w:rsidRPr="003307B3">
        <w:rPr>
          <w:rFonts w:cstheme="minorHAnsi"/>
          <w:sz w:val="21"/>
          <w:szCs w:val="21"/>
        </w:rPr>
        <w:t xml:space="preserve"> at 996.</w:t>
      </w:r>
      <w:proofErr w:type="gramEnd"/>
      <w:r w:rsidRPr="003307B3">
        <w:rPr>
          <w:rFonts w:cstheme="minorHAnsi"/>
          <w:sz w:val="21"/>
          <w:szCs w:val="21"/>
        </w:rPr>
        <w:t xml:space="preserve"> The court ruled that because the car was parked on a public street, and driven on public roads, the defendant had no reasonable expectation of privacy while using it. </w:t>
      </w:r>
      <w:proofErr w:type="gramStart"/>
      <w:r w:rsidR="000A623C" w:rsidRPr="003307B3">
        <w:rPr>
          <w:rFonts w:cstheme="minorHAnsi"/>
          <w:sz w:val="21"/>
          <w:szCs w:val="21"/>
          <w:u w:val="single"/>
        </w:rPr>
        <w:t>Id.</w:t>
      </w:r>
      <w:r w:rsidR="000A623C" w:rsidRPr="003307B3">
        <w:rPr>
          <w:rFonts w:cstheme="minorHAnsi"/>
          <w:sz w:val="21"/>
          <w:szCs w:val="21"/>
        </w:rPr>
        <w:t xml:space="preserve"> at 997.</w:t>
      </w:r>
      <w:proofErr w:type="gramEnd"/>
      <w:r w:rsidR="000A623C" w:rsidRPr="003307B3">
        <w:rPr>
          <w:rFonts w:cstheme="minorHAnsi"/>
          <w:sz w:val="21"/>
          <w:szCs w:val="21"/>
        </w:rPr>
        <w:t xml:space="preserve"> </w:t>
      </w:r>
      <w:r w:rsidRPr="003307B3">
        <w:rPr>
          <w:rFonts w:cstheme="minorHAnsi"/>
          <w:sz w:val="21"/>
          <w:szCs w:val="21"/>
        </w:rPr>
        <w:t xml:space="preserve">The device itself is claimed to be non-invasive; it does not affect the use of the car, and has its own power source; it is a “de </w:t>
      </w:r>
      <w:proofErr w:type="spellStart"/>
      <w:r w:rsidRPr="003307B3">
        <w:rPr>
          <w:rFonts w:cstheme="minorHAnsi"/>
          <w:sz w:val="21"/>
          <w:szCs w:val="21"/>
        </w:rPr>
        <w:t>minimis</w:t>
      </w:r>
      <w:proofErr w:type="spellEnd"/>
      <w:r w:rsidRPr="003307B3">
        <w:rPr>
          <w:rFonts w:cstheme="minorHAnsi"/>
          <w:sz w:val="21"/>
          <w:szCs w:val="21"/>
        </w:rPr>
        <w:t>” intrusion.</w:t>
      </w:r>
      <w:r w:rsidR="000A623C" w:rsidRPr="003307B3">
        <w:rPr>
          <w:rFonts w:cstheme="minorHAnsi"/>
          <w:sz w:val="21"/>
          <w:szCs w:val="21"/>
        </w:rPr>
        <w:t xml:space="preserve"> </w:t>
      </w:r>
      <w:r w:rsidR="000A623C" w:rsidRPr="003307B3">
        <w:rPr>
          <w:rFonts w:cstheme="minorHAnsi"/>
          <w:sz w:val="21"/>
          <w:szCs w:val="21"/>
          <w:u w:val="single"/>
        </w:rPr>
        <w:t>Id.</w:t>
      </w:r>
      <w:r w:rsidRPr="003307B3">
        <w:rPr>
          <w:rFonts w:cstheme="minorHAnsi"/>
          <w:sz w:val="21"/>
          <w:szCs w:val="21"/>
        </w:rPr>
        <w:t xml:space="preserve"> In </w:t>
      </w:r>
      <w:r w:rsidRPr="003307B3">
        <w:rPr>
          <w:rFonts w:cstheme="minorHAnsi"/>
          <w:sz w:val="21"/>
          <w:szCs w:val="21"/>
          <w:u w:val="single"/>
        </w:rPr>
        <w:t>Bailey</w:t>
      </w:r>
      <w:r w:rsidRPr="003307B3">
        <w:rPr>
          <w:rFonts w:cstheme="minorHAnsi"/>
          <w:sz w:val="21"/>
          <w:szCs w:val="21"/>
        </w:rPr>
        <w:t xml:space="preserve">, all unreasonable violations of an individual’s expectation of privacy are unconstitutional, regardless of being ruled “de </w:t>
      </w:r>
      <w:proofErr w:type="spellStart"/>
      <w:r w:rsidRPr="003307B3">
        <w:rPr>
          <w:rFonts w:cstheme="minorHAnsi"/>
          <w:sz w:val="21"/>
          <w:szCs w:val="21"/>
        </w:rPr>
        <w:t>minimis</w:t>
      </w:r>
      <w:proofErr w:type="spellEnd"/>
      <w:r w:rsidRPr="003307B3">
        <w:rPr>
          <w:rFonts w:cstheme="minorHAnsi"/>
          <w:sz w:val="21"/>
          <w:szCs w:val="21"/>
        </w:rPr>
        <w:t>”.</w:t>
      </w:r>
      <w:r w:rsidR="00F035F1" w:rsidRPr="003307B3">
        <w:rPr>
          <w:rFonts w:cstheme="minorHAnsi"/>
          <w:sz w:val="21"/>
          <w:szCs w:val="21"/>
        </w:rPr>
        <w:t xml:space="preserve"> </w:t>
      </w:r>
      <w:proofErr w:type="gramStart"/>
      <w:r w:rsidR="00F035F1" w:rsidRPr="003307B3">
        <w:rPr>
          <w:rFonts w:cstheme="minorHAnsi"/>
          <w:sz w:val="21"/>
          <w:szCs w:val="21"/>
        </w:rPr>
        <w:t>628 F.2d at 943.</w:t>
      </w:r>
      <w:proofErr w:type="gramEnd"/>
      <w:r w:rsidRPr="003307B3">
        <w:rPr>
          <w:rFonts w:cstheme="minorHAnsi"/>
          <w:sz w:val="21"/>
          <w:szCs w:val="21"/>
        </w:rPr>
        <w:t xml:space="preserve"> In this case, a GPS tracker was placed in a barrel of chemicals for two months to evaluate the location of suspected PCP manufacturers.</w:t>
      </w:r>
      <w:r w:rsidR="00F035F1" w:rsidRPr="003307B3">
        <w:rPr>
          <w:rFonts w:cstheme="minorHAnsi"/>
          <w:sz w:val="21"/>
          <w:szCs w:val="21"/>
        </w:rPr>
        <w:t xml:space="preserve"> </w:t>
      </w:r>
      <w:proofErr w:type="gramStart"/>
      <w:r w:rsidR="00F035F1" w:rsidRPr="003307B3">
        <w:rPr>
          <w:rFonts w:cstheme="minorHAnsi"/>
          <w:sz w:val="21"/>
          <w:szCs w:val="21"/>
          <w:u w:val="single"/>
        </w:rPr>
        <w:t>Id.</w:t>
      </w:r>
      <w:r w:rsidR="00F035F1" w:rsidRPr="003307B3">
        <w:rPr>
          <w:rFonts w:cstheme="minorHAnsi"/>
          <w:sz w:val="21"/>
          <w:szCs w:val="21"/>
        </w:rPr>
        <w:t xml:space="preserve"> at 940.</w:t>
      </w:r>
      <w:proofErr w:type="gramEnd"/>
      <w:r w:rsidRPr="003307B3">
        <w:rPr>
          <w:rFonts w:cstheme="minorHAnsi"/>
          <w:sz w:val="21"/>
          <w:szCs w:val="21"/>
        </w:rPr>
        <w:t xml:space="preserve"> The police stated that this use of technology merely enhances the natural, more traditional methods of surveillance.</w:t>
      </w:r>
      <w:r w:rsidR="00F035F1" w:rsidRPr="003307B3">
        <w:rPr>
          <w:rFonts w:cstheme="minorHAnsi"/>
          <w:sz w:val="21"/>
          <w:szCs w:val="21"/>
        </w:rPr>
        <w:t xml:space="preserve"> </w:t>
      </w:r>
      <w:proofErr w:type="gramStart"/>
      <w:r w:rsidR="00F035F1" w:rsidRPr="003307B3">
        <w:rPr>
          <w:rFonts w:cstheme="minorHAnsi"/>
          <w:sz w:val="21"/>
          <w:szCs w:val="21"/>
          <w:u w:val="single"/>
        </w:rPr>
        <w:t>Id.</w:t>
      </w:r>
      <w:r w:rsidR="00F035F1" w:rsidRPr="003307B3">
        <w:rPr>
          <w:rFonts w:cstheme="minorHAnsi"/>
          <w:sz w:val="21"/>
          <w:szCs w:val="21"/>
        </w:rPr>
        <w:t xml:space="preserve"> at 942.</w:t>
      </w:r>
      <w:proofErr w:type="gramEnd"/>
      <w:r w:rsidRPr="003307B3">
        <w:rPr>
          <w:rFonts w:cstheme="minorHAnsi"/>
          <w:sz w:val="21"/>
          <w:szCs w:val="21"/>
        </w:rPr>
        <w:t xml:space="preserve"> The court ruled that once the canisters were taken into private dwellings, shielded from public scrutiny, there became a legitimate expectation of privacy on the part of the suspects</w:t>
      </w:r>
      <w:r w:rsidR="00F035F1" w:rsidRPr="003307B3">
        <w:rPr>
          <w:rFonts w:cstheme="minorHAnsi"/>
          <w:sz w:val="21"/>
          <w:szCs w:val="21"/>
        </w:rPr>
        <w:t xml:space="preserve">. </w:t>
      </w:r>
      <w:proofErr w:type="gramStart"/>
      <w:r w:rsidR="00F035F1" w:rsidRPr="003307B3">
        <w:rPr>
          <w:rFonts w:cstheme="minorHAnsi"/>
          <w:sz w:val="21"/>
          <w:szCs w:val="21"/>
          <w:u w:val="single"/>
        </w:rPr>
        <w:t>Id.</w:t>
      </w:r>
      <w:r w:rsidR="00F035F1" w:rsidRPr="003307B3">
        <w:rPr>
          <w:rFonts w:cstheme="minorHAnsi"/>
          <w:sz w:val="21"/>
          <w:szCs w:val="21"/>
        </w:rPr>
        <w:t xml:space="preserve"> at 944.</w:t>
      </w:r>
      <w:proofErr w:type="gramEnd"/>
      <w:r w:rsidRPr="003307B3">
        <w:rPr>
          <w:rFonts w:cstheme="minorHAnsi"/>
          <w:sz w:val="21"/>
          <w:szCs w:val="21"/>
        </w:rPr>
        <w:t xml:space="preserve"> It was held that the original use of the tracker was legitimate, but since the warrants used had no termination date the court will not supp</w:t>
      </w:r>
      <w:r w:rsidR="00F035F1" w:rsidRPr="003307B3">
        <w:rPr>
          <w:rFonts w:cstheme="minorHAnsi"/>
          <w:sz w:val="21"/>
          <w:szCs w:val="21"/>
        </w:rPr>
        <w:t xml:space="preserve">ort “open-ended” searches. </w:t>
      </w:r>
      <w:proofErr w:type="gramStart"/>
      <w:r w:rsidR="00F035F1" w:rsidRPr="003307B3">
        <w:rPr>
          <w:rFonts w:cstheme="minorHAnsi"/>
          <w:sz w:val="21"/>
          <w:szCs w:val="21"/>
          <w:u w:val="single"/>
        </w:rPr>
        <w:t>Id.</w:t>
      </w:r>
      <w:r w:rsidR="00F035F1" w:rsidRPr="003307B3">
        <w:rPr>
          <w:rFonts w:cstheme="minorHAnsi"/>
          <w:sz w:val="21"/>
          <w:szCs w:val="21"/>
        </w:rPr>
        <w:t xml:space="preserve"> at 947.</w:t>
      </w:r>
      <w:proofErr w:type="gramEnd"/>
      <w:r w:rsidRPr="003307B3">
        <w:rPr>
          <w:rFonts w:cstheme="minorHAnsi"/>
          <w:sz w:val="21"/>
          <w:szCs w:val="21"/>
        </w:rPr>
        <w:t xml:space="preserve"> In </w:t>
      </w:r>
      <w:r w:rsidRPr="003307B3">
        <w:rPr>
          <w:rFonts w:cstheme="minorHAnsi"/>
          <w:sz w:val="21"/>
          <w:szCs w:val="21"/>
          <w:u w:val="single"/>
        </w:rPr>
        <w:t>Maynard</w:t>
      </w:r>
      <w:r w:rsidRPr="003307B3">
        <w:rPr>
          <w:rFonts w:cstheme="minorHAnsi"/>
          <w:sz w:val="21"/>
          <w:szCs w:val="21"/>
        </w:rPr>
        <w:t xml:space="preserve">, the court held that the warrantless use of a GPS tracking device can be legally </w:t>
      </w:r>
      <w:r w:rsidRPr="003307B3">
        <w:rPr>
          <w:rFonts w:cstheme="minorHAnsi"/>
          <w:sz w:val="21"/>
          <w:szCs w:val="21"/>
        </w:rPr>
        <w:lastRenderedPageBreak/>
        <w:t>considered a search.</w:t>
      </w:r>
      <w:r w:rsidR="000A623C" w:rsidRPr="003307B3">
        <w:rPr>
          <w:rFonts w:cstheme="minorHAnsi"/>
          <w:sz w:val="21"/>
          <w:szCs w:val="21"/>
        </w:rPr>
        <w:t xml:space="preserve"> </w:t>
      </w:r>
      <w:proofErr w:type="gramStart"/>
      <w:r w:rsidR="000A623C" w:rsidRPr="003307B3">
        <w:rPr>
          <w:rFonts w:cstheme="minorHAnsi"/>
          <w:sz w:val="21"/>
          <w:szCs w:val="21"/>
        </w:rPr>
        <w:t>615 F.3d at 553.</w:t>
      </w:r>
      <w:proofErr w:type="gramEnd"/>
      <w:r w:rsidRPr="003307B3">
        <w:rPr>
          <w:rFonts w:cstheme="minorHAnsi"/>
          <w:sz w:val="21"/>
          <w:szCs w:val="21"/>
        </w:rPr>
        <w:t xml:space="preserve"> The defendants in this case were being investigated for suspected connections to drug sales and distribution.</w:t>
      </w:r>
      <w:r w:rsidR="000A623C" w:rsidRPr="003307B3">
        <w:rPr>
          <w:rFonts w:cstheme="minorHAnsi"/>
          <w:sz w:val="21"/>
          <w:szCs w:val="21"/>
        </w:rPr>
        <w:t xml:space="preserve"> </w:t>
      </w:r>
      <w:proofErr w:type="gramStart"/>
      <w:r w:rsidR="000A623C" w:rsidRPr="003307B3">
        <w:rPr>
          <w:rFonts w:cstheme="minorHAnsi"/>
          <w:sz w:val="21"/>
          <w:szCs w:val="21"/>
          <w:u w:val="single"/>
        </w:rPr>
        <w:t>Id.</w:t>
      </w:r>
      <w:r w:rsidR="000A623C" w:rsidRPr="003307B3">
        <w:rPr>
          <w:rFonts w:cstheme="minorHAnsi"/>
          <w:sz w:val="21"/>
          <w:szCs w:val="21"/>
        </w:rPr>
        <w:t xml:space="preserve"> at 549.</w:t>
      </w:r>
      <w:proofErr w:type="gramEnd"/>
      <w:r w:rsidRPr="003307B3">
        <w:rPr>
          <w:rFonts w:cstheme="minorHAnsi"/>
          <w:sz w:val="21"/>
          <w:szCs w:val="21"/>
        </w:rPr>
        <w:t xml:space="preserve"> The two men were being tracked using a device for 28 straight days.</w:t>
      </w:r>
      <w:r w:rsidR="000A623C" w:rsidRPr="003307B3">
        <w:rPr>
          <w:rFonts w:cstheme="minorHAnsi"/>
          <w:sz w:val="21"/>
          <w:szCs w:val="21"/>
        </w:rPr>
        <w:t xml:space="preserve"> </w:t>
      </w:r>
      <w:r w:rsidR="000A623C" w:rsidRPr="003307B3">
        <w:rPr>
          <w:rFonts w:cstheme="minorHAnsi"/>
          <w:sz w:val="21"/>
          <w:szCs w:val="21"/>
          <w:u w:val="single"/>
        </w:rPr>
        <w:t>Id.</w:t>
      </w:r>
      <w:r w:rsidRPr="003307B3">
        <w:rPr>
          <w:rFonts w:cstheme="minorHAnsi"/>
          <w:sz w:val="21"/>
          <w:szCs w:val="21"/>
        </w:rPr>
        <w:t xml:space="preserve"> The court made a distinction between the limited information gathered from most tracking devices, and consistent twenty-four hour surveillance “dragnets” upon any citizen </w:t>
      </w:r>
      <w:r w:rsidR="000A623C" w:rsidRPr="003307B3">
        <w:rPr>
          <w:rFonts w:cstheme="minorHAnsi"/>
          <w:sz w:val="21"/>
          <w:szCs w:val="21"/>
        </w:rPr>
        <w:t xml:space="preserve">without the need for a warrant. </w:t>
      </w:r>
      <w:proofErr w:type="gramStart"/>
      <w:r w:rsidR="000A623C" w:rsidRPr="003307B3">
        <w:rPr>
          <w:rFonts w:cstheme="minorHAnsi"/>
          <w:sz w:val="21"/>
          <w:szCs w:val="21"/>
          <w:u w:val="single"/>
        </w:rPr>
        <w:t>Id.</w:t>
      </w:r>
      <w:r w:rsidR="000A623C" w:rsidRPr="003307B3">
        <w:rPr>
          <w:rFonts w:cstheme="minorHAnsi"/>
          <w:sz w:val="21"/>
          <w:szCs w:val="21"/>
        </w:rPr>
        <w:t xml:space="preserve"> at 555.</w:t>
      </w:r>
      <w:proofErr w:type="gramEnd"/>
      <w:r w:rsidR="000A623C" w:rsidRPr="003307B3">
        <w:rPr>
          <w:rFonts w:cstheme="minorHAnsi"/>
          <w:sz w:val="21"/>
          <w:szCs w:val="21"/>
        </w:rPr>
        <w:t xml:space="preserve"> </w:t>
      </w:r>
      <w:r w:rsidRPr="003307B3">
        <w:rPr>
          <w:rFonts w:cstheme="minorHAnsi"/>
          <w:sz w:val="21"/>
          <w:szCs w:val="21"/>
        </w:rPr>
        <w:t>The court ruled that prolonged, excessive surveillance of all activities is invasive enough to be considered a search.</w:t>
      </w:r>
      <w:r w:rsidR="000A623C" w:rsidRPr="003307B3">
        <w:rPr>
          <w:rFonts w:cstheme="minorHAnsi"/>
          <w:sz w:val="21"/>
          <w:szCs w:val="21"/>
        </w:rPr>
        <w:t xml:space="preserve"> </w:t>
      </w:r>
      <w:proofErr w:type="gramStart"/>
      <w:r w:rsidR="000A623C" w:rsidRPr="003307B3">
        <w:rPr>
          <w:rFonts w:cstheme="minorHAnsi"/>
          <w:sz w:val="21"/>
          <w:szCs w:val="21"/>
          <w:u w:val="single"/>
        </w:rPr>
        <w:t>Id.</w:t>
      </w:r>
      <w:r w:rsidR="000A623C" w:rsidRPr="003307B3">
        <w:rPr>
          <w:rFonts w:cstheme="minorHAnsi"/>
          <w:sz w:val="21"/>
          <w:szCs w:val="21"/>
        </w:rPr>
        <w:t xml:space="preserve"> at 552.</w:t>
      </w:r>
      <w:proofErr w:type="gramEnd"/>
    </w:p>
    <w:p w:rsidR="00B2318B" w:rsidRPr="003307B3" w:rsidRDefault="00B2318B" w:rsidP="00C220A2">
      <w:pPr>
        <w:spacing w:after="0" w:line="480" w:lineRule="auto"/>
        <w:rPr>
          <w:rFonts w:cstheme="minorHAnsi"/>
          <w:sz w:val="21"/>
          <w:szCs w:val="21"/>
        </w:rPr>
      </w:pPr>
      <w:r w:rsidRPr="003307B3">
        <w:rPr>
          <w:rFonts w:cstheme="minorHAnsi"/>
          <w:sz w:val="21"/>
          <w:szCs w:val="21"/>
        </w:rPr>
        <w:tab/>
        <w:t xml:space="preserve">Mary Smith will be able to have the GPS records the police obtained suppressed under the Fourth </w:t>
      </w:r>
      <w:r w:rsidR="00811FCD" w:rsidRPr="003307B3">
        <w:rPr>
          <w:rFonts w:cstheme="minorHAnsi"/>
          <w:sz w:val="21"/>
          <w:szCs w:val="21"/>
        </w:rPr>
        <w:t>Amendment</w:t>
      </w:r>
      <w:r w:rsidRPr="003307B3">
        <w:rPr>
          <w:rFonts w:cstheme="minorHAnsi"/>
          <w:sz w:val="21"/>
          <w:szCs w:val="21"/>
        </w:rPr>
        <w:t xml:space="preserve"> in the upcoming prosecution. The actions of the police will constitute a search, as in </w:t>
      </w:r>
      <w:r w:rsidRPr="003307B3">
        <w:rPr>
          <w:rFonts w:cstheme="minorHAnsi"/>
          <w:sz w:val="21"/>
          <w:szCs w:val="21"/>
          <w:u w:val="single"/>
        </w:rPr>
        <w:t>Katz</w:t>
      </w:r>
      <w:r w:rsidRPr="003307B3">
        <w:rPr>
          <w:rFonts w:cstheme="minorHAnsi"/>
          <w:sz w:val="21"/>
          <w:szCs w:val="21"/>
        </w:rPr>
        <w:t xml:space="preserve">, due to the violation of Mary’s </w:t>
      </w:r>
      <w:r w:rsidR="00205D99" w:rsidRPr="003307B3">
        <w:rPr>
          <w:rFonts w:cstheme="minorHAnsi"/>
          <w:sz w:val="21"/>
          <w:szCs w:val="21"/>
        </w:rPr>
        <w:t xml:space="preserve">reasonable </w:t>
      </w:r>
      <w:r w:rsidRPr="003307B3">
        <w:rPr>
          <w:rFonts w:cstheme="minorHAnsi"/>
          <w:sz w:val="21"/>
          <w:szCs w:val="21"/>
        </w:rPr>
        <w:t>expectation of privacy.</w:t>
      </w:r>
      <w:r w:rsidR="00640FE5" w:rsidRPr="003307B3">
        <w:rPr>
          <w:rFonts w:cstheme="minorHAnsi"/>
          <w:sz w:val="21"/>
          <w:szCs w:val="21"/>
        </w:rPr>
        <w:t xml:space="preserve"> </w:t>
      </w:r>
      <w:proofErr w:type="gramStart"/>
      <w:r w:rsidR="00640FE5" w:rsidRPr="003307B3">
        <w:rPr>
          <w:rFonts w:cstheme="minorHAnsi"/>
          <w:sz w:val="21"/>
          <w:szCs w:val="21"/>
        </w:rPr>
        <w:t>389 U.S. at 351.</w:t>
      </w:r>
      <w:proofErr w:type="gramEnd"/>
      <w:r w:rsidRPr="003307B3">
        <w:rPr>
          <w:rFonts w:cstheme="minorHAnsi"/>
          <w:sz w:val="21"/>
          <w:szCs w:val="21"/>
        </w:rPr>
        <w:t xml:space="preserve"> The warrantless attaching of a GPS to Mary’s car would not, on its own, be considered a search</w:t>
      </w:r>
      <w:r w:rsidR="0028745C" w:rsidRPr="003307B3">
        <w:rPr>
          <w:rFonts w:cstheme="minorHAnsi"/>
          <w:sz w:val="21"/>
          <w:szCs w:val="21"/>
        </w:rPr>
        <w:t>,</w:t>
      </w:r>
      <w:r w:rsidRPr="003307B3">
        <w:rPr>
          <w:rFonts w:cstheme="minorHAnsi"/>
          <w:sz w:val="21"/>
          <w:szCs w:val="21"/>
        </w:rPr>
        <w:t xml:space="preserve"> but like in </w:t>
      </w:r>
      <w:r w:rsidRPr="003307B3">
        <w:rPr>
          <w:rFonts w:cstheme="minorHAnsi"/>
          <w:sz w:val="21"/>
          <w:szCs w:val="21"/>
          <w:u w:val="single"/>
        </w:rPr>
        <w:t>Bailey</w:t>
      </w:r>
      <w:r w:rsidRPr="003307B3">
        <w:rPr>
          <w:rFonts w:cstheme="minorHAnsi"/>
          <w:sz w:val="21"/>
          <w:szCs w:val="21"/>
        </w:rPr>
        <w:t>, the invasiveness of the police use of th</w:t>
      </w:r>
      <w:r w:rsidR="0028745C" w:rsidRPr="003307B3">
        <w:rPr>
          <w:rFonts w:cstheme="minorHAnsi"/>
          <w:sz w:val="21"/>
          <w:szCs w:val="21"/>
        </w:rPr>
        <w:t>e device will turn</w:t>
      </w:r>
      <w:r w:rsidR="00F035F1" w:rsidRPr="003307B3">
        <w:rPr>
          <w:rFonts w:cstheme="minorHAnsi"/>
          <w:sz w:val="21"/>
          <w:szCs w:val="21"/>
        </w:rPr>
        <w:t xml:space="preserve"> it into one. </w:t>
      </w:r>
      <w:proofErr w:type="gramStart"/>
      <w:r w:rsidR="00F035F1" w:rsidRPr="003307B3">
        <w:rPr>
          <w:rFonts w:cstheme="minorHAnsi"/>
          <w:sz w:val="21"/>
          <w:szCs w:val="21"/>
        </w:rPr>
        <w:t>628 F.2d at 947.</w:t>
      </w:r>
      <w:proofErr w:type="gramEnd"/>
      <w:r w:rsidR="00F035F1" w:rsidRPr="003307B3">
        <w:rPr>
          <w:rFonts w:cstheme="minorHAnsi"/>
          <w:sz w:val="21"/>
          <w:szCs w:val="21"/>
        </w:rPr>
        <w:t xml:space="preserve"> </w:t>
      </w:r>
      <w:r w:rsidRPr="003307B3">
        <w:rPr>
          <w:rFonts w:cstheme="minorHAnsi"/>
          <w:sz w:val="21"/>
          <w:szCs w:val="21"/>
        </w:rPr>
        <w:t xml:space="preserve">Unlike in </w:t>
      </w:r>
      <w:r w:rsidRPr="003307B3">
        <w:rPr>
          <w:rFonts w:cstheme="minorHAnsi"/>
          <w:sz w:val="21"/>
          <w:szCs w:val="21"/>
          <w:u w:val="single"/>
        </w:rPr>
        <w:t>Garcia</w:t>
      </w:r>
      <w:r w:rsidRPr="003307B3">
        <w:rPr>
          <w:rFonts w:cstheme="minorHAnsi"/>
          <w:sz w:val="21"/>
          <w:szCs w:val="21"/>
        </w:rPr>
        <w:t xml:space="preserve">, the police left the GPS on Mary’s car </w:t>
      </w:r>
      <w:r w:rsidR="0028745C" w:rsidRPr="003307B3">
        <w:rPr>
          <w:rFonts w:cstheme="minorHAnsi"/>
          <w:sz w:val="21"/>
          <w:szCs w:val="21"/>
        </w:rPr>
        <w:t>for an extended period of time</w:t>
      </w:r>
      <w:r w:rsidRPr="003307B3">
        <w:rPr>
          <w:rFonts w:cstheme="minorHAnsi"/>
          <w:sz w:val="21"/>
          <w:szCs w:val="21"/>
        </w:rPr>
        <w:t>, and recorded information about her whereabouts.</w:t>
      </w:r>
      <w:r w:rsidR="000A623C" w:rsidRPr="003307B3">
        <w:rPr>
          <w:rFonts w:cstheme="minorHAnsi"/>
          <w:sz w:val="21"/>
          <w:szCs w:val="21"/>
        </w:rPr>
        <w:t xml:space="preserve"> </w:t>
      </w:r>
      <w:proofErr w:type="gramStart"/>
      <w:r w:rsidR="000A623C" w:rsidRPr="003307B3">
        <w:rPr>
          <w:rFonts w:cstheme="minorHAnsi"/>
          <w:sz w:val="21"/>
          <w:szCs w:val="21"/>
        </w:rPr>
        <w:t>474 F.3d at 996.</w:t>
      </w:r>
      <w:proofErr w:type="gramEnd"/>
      <w:r w:rsidRPr="003307B3">
        <w:rPr>
          <w:rFonts w:cstheme="minorHAnsi"/>
          <w:sz w:val="21"/>
          <w:szCs w:val="21"/>
        </w:rPr>
        <w:t xml:space="preserve"> Mary does not have an expectation of privacy while driving, but under the Fourth </w:t>
      </w:r>
      <w:r w:rsidR="00811FCD" w:rsidRPr="003307B3">
        <w:rPr>
          <w:rFonts w:cstheme="minorHAnsi"/>
          <w:sz w:val="21"/>
          <w:szCs w:val="21"/>
        </w:rPr>
        <w:t>Amendment</w:t>
      </w:r>
      <w:r w:rsidRPr="003307B3">
        <w:rPr>
          <w:rFonts w:cstheme="minorHAnsi"/>
          <w:sz w:val="21"/>
          <w:szCs w:val="21"/>
        </w:rPr>
        <w:t xml:space="preserve"> she is entitled to be free of unreasonable searche</w:t>
      </w:r>
      <w:r w:rsidR="000A623C" w:rsidRPr="003307B3">
        <w:rPr>
          <w:rFonts w:cstheme="minorHAnsi"/>
          <w:sz w:val="21"/>
          <w:szCs w:val="21"/>
        </w:rPr>
        <w:t xml:space="preserve">s. </w:t>
      </w:r>
      <w:r w:rsidR="000A623C" w:rsidRPr="003307B3">
        <w:rPr>
          <w:rFonts w:cstheme="minorHAnsi"/>
          <w:sz w:val="21"/>
          <w:szCs w:val="21"/>
          <w:u w:val="single"/>
        </w:rPr>
        <w:t>Id.</w:t>
      </w:r>
      <w:r w:rsidRPr="003307B3">
        <w:rPr>
          <w:rFonts w:cstheme="minorHAnsi"/>
          <w:sz w:val="21"/>
          <w:szCs w:val="21"/>
        </w:rPr>
        <w:t xml:space="preserve"> The information collected by the police using the </w:t>
      </w:r>
      <w:r w:rsidR="00205D99" w:rsidRPr="003307B3">
        <w:rPr>
          <w:rFonts w:cstheme="minorHAnsi"/>
          <w:sz w:val="21"/>
          <w:szCs w:val="21"/>
        </w:rPr>
        <w:t>tracking device not only recorded</w:t>
      </w:r>
      <w:r w:rsidRPr="003307B3">
        <w:rPr>
          <w:rFonts w:cstheme="minorHAnsi"/>
          <w:sz w:val="21"/>
          <w:szCs w:val="21"/>
        </w:rPr>
        <w:t xml:space="preserve"> her location during suspected illicit activities, but also innocent ones as well. As the court showed in </w:t>
      </w:r>
      <w:r w:rsidRPr="003307B3">
        <w:rPr>
          <w:rFonts w:cstheme="minorHAnsi"/>
          <w:sz w:val="21"/>
          <w:szCs w:val="21"/>
          <w:u w:val="single"/>
        </w:rPr>
        <w:t>Bailey</w:t>
      </w:r>
      <w:r w:rsidRPr="003307B3">
        <w:rPr>
          <w:rFonts w:cstheme="minorHAnsi"/>
          <w:sz w:val="21"/>
          <w:szCs w:val="21"/>
        </w:rPr>
        <w:t>, that level of invasiveness gives the police a more intimate picture of Mary’s life well in excess of the investigation.</w:t>
      </w:r>
      <w:r w:rsidR="00F035F1" w:rsidRPr="003307B3">
        <w:rPr>
          <w:rFonts w:cstheme="minorHAnsi"/>
          <w:sz w:val="21"/>
          <w:szCs w:val="21"/>
        </w:rPr>
        <w:t xml:space="preserve"> </w:t>
      </w:r>
      <w:proofErr w:type="gramStart"/>
      <w:r w:rsidR="00F035F1" w:rsidRPr="003307B3">
        <w:rPr>
          <w:rFonts w:cstheme="minorHAnsi"/>
          <w:sz w:val="21"/>
          <w:szCs w:val="21"/>
        </w:rPr>
        <w:t>628 F.2d at 947.</w:t>
      </w:r>
      <w:proofErr w:type="gramEnd"/>
      <w:r w:rsidRPr="003307B3">
        <w:rPr>
          <w:rFonts w:cstheme="minorHAnsi"/>
          <w:sz w:val="21"/>
          <w:szCs w:val="21"/>
        </w:rPr>
        <w:t xml:space="preserve"> As in </w:t>
      </w:r>
      <w:r w:rsidRPr="003307B3">
        <w:rPr>
          <w:rFonts w:cstheme="minorHAnsi"/>
          <w:sz w:val="21"/>
          <w:szCs w:val="21"/>
          <w:u w:val="single"/>
        </w:rPr>
        <w:t>Maynard</w:t>
      </w:r>
      <w:r w:rsidRPr="003307B3">
        <w:rPr>
          <w:rFonts w:cstheme="minorHAnsi"/>
          <w:sz w:val="21"/>
          <w:szCs w:val="21"/>
        </w:rPr>
        <w:t>, the unrestricted monitoring of Mary’s life twenty-four hours a day did constitute a violation of a reasonable privacy interest.</w:t>
      </w:r>
      <w:r w:rsidR="000A623C" w:rsidRPr="003307B3">
        <w:rPr>
          <w:rFonts w:cstheme="minorHAnsi"/>
          <w:sz w:val="21"/>
          <w:szCs w:val="21"/>
        </w:rPr>
        <w:t xml:space="preserve"> </w:t>
      </w:r>
      <w:proofErr w:type="gramStart"/>
      <w:r w:rsidR="000A623C" w:rsidRPr="003307B3">
        <w:rPr>
          <w:rFonts w:cstheme="minorHAnsi"/>
          <w:sz w:val="21"/>
          <w:szCs w:val="21"/>
          <w:u w:val="single"/>
        </w:rPr>
        <w:t>Id.</w:t>
      </w:r>
      <w:r w:rsidR="000A623C" w:rsidRPr="003307B3">
        <w:rPr>
          <w:rFonts w:cstheme="minorHAnsi"/>
          <w:sz w:val="21"/>
          <w:szCs w:val="21"/>
        </w:rPr>
        <w:t xml:space="preserve"> at 552.</w:t>
      </w:r>
      <w:proofErr w:type="gramEnd"/>
      <w:r w:rsidRPr="003307B3">
        <w:rPr>
          <w:rFonts w:cstheme="minorHAnsi"/>
          <w:sz w:val="21"/>
          <w:szCs w:val="21"/>
        </w:rPr>
        <w:t xml:space="preserve"> </w:t>
      </w:r>
      <w:r w:rsidR="0028745C" w:rsidRPr="003307B3">
        <w:rPr>
          <w:rFonts w:cstheme="minorHAnsi"/>
          <w:sz w:val="21"/>
          <w:szCs w:val="21"/>
        </w:rPr>
        <w:t xml:space="preserve">The mosaic of her activities created by the collected information would go far beyond that which would be available to alternative means of traditional surveillance, which sets it apart from short term GPS use. </w:t>
      </w:r>
      <w:r w:rsidRPr="003307B3">
        <w:rPr>
          <w:rFonts w:cstheme="minorHAnsi"/>
          <w:sz w:val="21"/>
          <w:szCs w:val="21"/>
        </w:rPr>
        <w:t xml:space="preserve">The court will use an argument similar to </w:t>
      </w:r>
      <w:proofErr w:type="spellStart"/>
      <w:r w:rsidRPr="003307B3">
        <w:rPr>
          <w:rFonts w:cstheme="minorHAnsi"/>
          <w:sz w:val="21"/>
          <w:szCs w:val="21"/>
          <w:u w:val="single"/>
        </w:rPr>
        <w:t>Knotts</w:t>
      </w:r>
      <w:proofErr w:type="spellEnd"/>
      <w:r w:rsidRPr="003307B3">
        <w:rPr>
          <w:rFonts w:cstheme="minorHAnsi"/>
          <w:sz w:val="21"/>
          <w:szCs w:val="21"/>
        </w:rPr>
        <w:t>, on the basis that if this level of surveillance is only an alternative</w:t>
      </w:r>
      <w:r w:rsidR="00205D99" w:rsidRPr="003307B3">
        <w:rPr>
          <w:rFonts w:cstheme="minorHAnsi"/>
          <w:sz w:val="21"/>
          <w:szCs w:val="21"/>
        </w:rPr>
        <w:t xml:space="preserve"> to more traditional means,</w:t>
      </w:r>
      <w:r w:rsidRPr="003307B3">
        <w:rPr>
          <w:rFonts w:cstheme="minorHAnsi"/>
          <w:sz w:val="21"/>
          <w:szCs w:val="21"/>
        </w:rPr>
        <w:t xml:space="preserve"> </w:t>
      </w:r>
      <w:proofErr w:type="gramStart"/>
      <w:r w:rsidRPr="003307B3">
        <w:rPr>
          <w:rFonts w:cstheme="minorHAnsi"/>
          <w:sz w:val="21"/>
          <w:szCs w:val="21"/>
        </w:rPr>
        <w:t>the</w:t>
      </w:r>
      <w:proofErr w:type="gramEnd"/>
      <w:r w:rsidRPr="003307B3">
        <w:rPr>
          <w:rFonts w:cstheme="minorHAnsi"/>
          <w:sz w:val="21"/>
          <w:szCs w:val="21"/>
        </w:rPr>
        <w:t xml:space="preserve"> police should have </w:t>
      </w:r>
      <w:r w:rsidR="00205D99" w:rsidRPr="003307B3">
        <w:rPr>
          <w:rFonts w:cstheme="minorHAnsi"/>
          <w:sz w:val="21"/>
          <w:szCs w:val="21"/>
        </w:rPr>
        <w:t>gotten a</w:t>
      </w:r>
      <w:r w:rsidRPr="003307B3">
        <w:rPr>
          <w:rFonts w:cstheme="minorHAnsi"/>
          <w:sz w:val="21"/>
          <w:szCs w:val="21"/>
        </w:rPr>
        <w:t xml:space="preserve"> warrant.</w:t>
      </w:r>
      <w:r w:rsidR="009A12EE" w:rsidRPr="003307B3">
        <w:rPr>
          <w:rFonts w:cstheme="minorHAnsi"/>
          <w:sz w:val="21"/>
          <w:szCs w:val="21"/>
        </w:rPr>
        <w:t xml:space="preserve"> </w:t>
      </w:r>
      <w:proofErr w:type="gramStart"/>
      <w:r w:rsidR="009A12EE" w:rsidRPr="003307B3">
        <w:rPr>
          <w:rFonts w:cstheme="minorHAnsi"/>
          <w:sz w:val="21"/>
          <w:szCs w:val="21"/>
        </w:rPr>
        <w:t>460 U.S. at 276.</w:t>
      </w:r>
      <w:proofErr w:type="gramEnd"/>
      <w:r w:rsidRPr="003307B3">
        <w:rPr>
          <w:rFonts w:cstheme="minorHAnsi"/>
          <w:sz w:val="21"/>
          <w:szCs w:val="21"/>
        </w:rPr>
        <w:t xml:space="preserve"> Given the constant, unspecified monitoring there was no pressing evidentiary concern as in </w:t>
      </w:r>
      <w:proofErr w:type="spellStart"/>
      <w:r w:rsidRPr="003307B3">
        <w:rPr>
          <w:rFonts w:cstheme="minorHAnsi"/>
          <w:sz w:val="21"/>
          <w:szCs w:val="21"/>
          <w:u w:val="single"/>
        </w:rPr>
        <w:t>Mapp</w:t>
      </w:r>
      <w:proofErr w:type="spellEnd"/>
      <w:r w:rsidRPr="003307B3">
        <w:rPr>
          <w:rFonts w:cstheme="minorHAnsi"/>
          <w:sz w:val="21"/>
          <w:szCs w:val="21"/>
        </w:rPr>
        <w:t>, and there is no indication that the police thought otherwise.</w:t>
      </w:r>
      <w:r w:rsidR="00465832" w:rsidRPr="003307B3">
        <w:rPr>
          <w:rFonts w:cstheme="minorHAnsi"/>
          <w:sz w:val="21"/>
          <w:szCs w:val="21"/>
        </w:rPr>
        <w:t xml:space="preserve"> </w:t>
      </w:r>
      <w:proofErr w:type="gramStart"/>
      <w:r w:rsidR="00465832" w:rsidRPr="003307B3">
        <w:rPr>
          <w:rFonts w:cstheme="minorHAnsi"/>
          <w:sz w:val="21"/>
          <w:szCs w:val="21"/>
        </w:rPr>
        <w:t>367 U.S. at 646.</w:t>
      </w:r>
      <w:proofErr w:type="gramEnd"/>
      <w:r w:rsidRPr="003307B3">
        <w:rPr>
          <w:rFonts w:cstheme="minorHAnsi"/>
          <w:sz w:val="21"/>
          <w:szCs w:val="21"/>
        </w:rPr>
        <w:t xml:space="preserve"> It is the timeframe which made the tracking a search, and unreasonable; the acquisition of a warrant would have </w:t>
      </w:r>
      <w:bookmarkStart w:id="0" w:name="_GoBack"/>
      <w:bookmarkEnd w:id="0"/>
      <w:r w:rsidRPr="003307B3">
        <w:rPr>
          <w:rFonts w:cstheme="minorHAnsi"/>
          <w:sz w:val="21"/>
          <w:szCs w:val="21"/>
        </w:rPr>
        <w:t>included a set timeframe, making the search legal and accomplishing the same task within the judicial system.</w:t>
      </w:r>
    </w:p>
    <w:sectPr w:rsidR="00B2318B" w:rsidRPr="003307B3" w:rsidSect="00C332F5">
      <w:footerReference w:type="default" r:id="rId8"/>
      <w:pgSz w:w="12240" w:h="15840"/>
      <w:pgMar w:top="1260" w:right="1350" w:bottom="1260" w:left="135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7C69" w:rsidRDefault="00057C69" w:rsidP="00802155">
      <w:pPr>
        <w:spacing w:after="0" w:line="240" w:lineRule="auto"/>
      </w:pPr>
      <w:r>
        <w:separator/>
      </w:r>
    </w:p>
  </w:endnote>
  <w:endnote w:type="continuationSeparator" w:id="0">
    <w:p w:rsidR="00057C69" w:rsidRDefault="00057C69" w:rsidP="008021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2227961"/>
      <w:docPartObj>
        <w:docPartGallery w:val="Page Numbers (Bottom of Page)"/>
        <w:docPartUnique/>
      </w:docPartObj>
    </w:sdtPr>
    <w:sdtEndPr>
      <w:rPr>
        <w:noProof/>
      </w:rPr>
    </w:sdtEndPr>
    <w:sdtContent>
      <w:p w:rsidR="004A09B4" w:rsidRDefault="004A09B4">
        <w:pPr>
          <w:pStyle w:val="Footer"/>
          <w:jc w:val="right"/>
        </w:pPr>
        <w:r>
          <w:fldChar w:fldCharType="begin"/>
        </w:r>
        <w:r>
          <w:instrText xml:space="preserve"> PAGE   \* MERGEFORMAT </w:instrText>
        </w:r>
        <w:r>
          <w:fldChar w:fldCharType="separate"/>
        </w:r>
        <w:r w:rsidR="007E6640">
          <w:rPr>
            <w:noProof/>
          </w:rPr>
          <w:t>1</w:t>
        </w:r>
        <w:r>
          <w:rPr>
            <w:noProof/>
          </w:rPr>
          <w:fldChar w:fldCharType="end"/>
        </w:r>
      </w:p>
    </w:sdtContent>
  </w:sdt>
  <w:p w:rsidR="004A09B4" w:rsidRDefault="004A09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7C69" w:rsidRDefault="00057C69" w:rsidP="00802155">
      <w:pPr>
        <w:spacing w:after="0" w:line="240" w:lineRule="auto"/>
      </w:pPr>
      <w:r>
        <w:separator/>
      </w:r>
    </w:p>
  </w:footnote>
  <w:footnote w:type="continuationSeparator" w:id="0">
    <w:p w:rsidR="00057C69" w:rsidRDefault="00057C69" w:rsidP="0080215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E70B0A"/>
    <w:multiLevelType w:val="hybridMultilevel"/>
    <w:tmpl w:val="92D46EBA"/>
    <w:lvl w:ilvl="0" w:tplc="14541E8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AEC3A3B"/>
    <w:multiLevelType w:val="hybridMultilevel"/>
    <w:tmpl w:val="5B8461BE"/>
    <w:lvl w:ilvl="0" w:tplc="C91A6606">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6098"/>
    <w:rsid w:val="00020839"/>
    <w:rsid w:val="000364D3"/>
    <w:rsid w:val="00042353"/>
    <w:rsid w:val="0005788E"/>
    <w:rsid w:val="00057C69"/>
    <w:rsid w:val="0006022A"/>
    <w:rsid w:val="000933BF"/>
    <w:rsid w:val="000A623C"/>
    <w:rsid w:val="000A71FE"/>
    <w:rsid w:val="000B2D74"/>
    <w:rsid w:val="000B2FA3"/>
    <w:rsid w:val="000C511A"/>
    <w:rsid w:val="000D2F92"/>
    <w:rsid w:val="000D426F"/>
    <w:rsid w:val="001152DE"/>
    <w:rsid w:val="00125B12"/>
    <w:rsid w:val="001448AC"/>
    <w:rsid w:val="00172A31"/>
    <w:rsid w:val="001A0ECC"/>
    <w:rsid w:val="001C2857"/>
    <w:rsid w:val="001E539B"/>
    <w:rsid w:val="00205D99"/>
    <w:rsid w:val="00280A98"/>
    <w:rsid w:val="0028745C"/>
    <w:rsid w:val="002A12CC"/>
    <w:rsid w:val="002A2A6B"/>
    <w:rsid w:val="002F6E46"/>
    <w:rsid w:val="00316CEB"/>
    <w:rsid w:val="003307B3"/>
    <w:rsid w:val="0034032F"/>
    <w:rsid w:val="00381109"/>
    <w:rsid w:val="0038415F"/>
    <w:rsid w:val="00384871"/>
    <w:rsid w:val="003A5528"/>
    <w:rsid w:val="003A66E2"/>
    <w:rsid w:val="003B5403"/>
    <w:rsid w:val="003C5CE6"/>
    <w:rsid w:val="003C7240"/>
    <w:rsid w:val="003D514C"/>
    <w:rsid w:val="003F3B7C"/>
    <w:rsid w:val="003F54EC"/>
    <w:rsid w:val="00420D02"/>
    <w:rsid w:val="00425691"/>
    <w:rsid w:val="00447228"/>
    <w:rsid w:val="00452522"/>
    <w:rsid w:val="00453F12"/>
    <w:rsid w:val="00465832"/>
    <w:rsid w:val="00474460"/>
    <w:rsid w:val="004829F7"/>
    <w:rsid w:val="0049693C"/>
    <w:rsid w:val="004A09B4"/>
    <w:rsid w:val="004A43E3"/>
    <w:rsid w:val="004A6A86"/>
    <w:rsid w:val="004A7C57"/>
    <w:rsid w:val="004B47EF"/>
    <w:rsid w:val="004C3E4A"/>
    <w:rsid w:val="004C7863"/>
    <w:rsid w:val="004E6385"/>
    <w:rsid w:val="00504ECE"/>
    <w:rsid w:val="005133F4"/>
    <w:rsid w:val="00536A04"/>
    <w:rsid w:val="005408CD"/>
    <w:rsid w:val="0054337A"/>
    <w:rsid w:val="00550879"/>
    <w:rsid w:val="00585938"/>
    <w:rsid w:val="005A7998"/>
    <w:rsid w:val="005E3162"/>
    <w:rsid w:val="005F3CDF"/>
    <w:rsid w:val="005F4CE2"/>
    <w:rsid w:val="00610F6C"/>
    <w:rsid w:val="00640FE5"/>
    <w:rsid w:val="00644810"/>
    <w:rsid w:val="00672C9B"/>
    <w:rsid w:val="00677564"/>
    <w:rsid w:val="00694D61"/>
    <w:rsid w:val="006B6A79"/>
    <w:rsid w:val="006C4816"/>
    <w:rsid w:val="0071110D"/>
    <w:rsid w:val="00737A6C"/>
    <w:rsid w:val="007D0839"/>
    <w:rsid w:val="007E6640"/>
    <w:rsid w:val="007F4B00"/>
    <w:rsid w:val="007F6085"/>
    <w:rsid w:val="00802155"/>
    <w:rsid w:val="00803FD1"/>
    <w:rsid w:val="00806AE2"/>
    <w:rsid w:val="00811FCD"/>
    <w:rsid w:val="00830EA4"/>
    <w:rsid w:val="00832C08"/>
    <w:rsid w:val="008659DB"/>
    <w:rsid w:val="00887308"/>
    <w:rsid w:val="008C3D4E"/>
    <w:rsid w:val="008C7679"/>
    <w:rsid w:val="008E00EB"/>
    <w:rsid w:val="008E0181"/>
    <w:rsid w:val="008E2097"/>
    <w:rsid w:val="008E2D79"/>
    <w:rsid w:val="008E5BFF"/>
    <w:rsid w:val="008F448B"/>
    <w:rsid w:val="00905145"/>
    <w:rsid w:val="00927D5E"/>
    <w:rsid w:val="0093063B"/>
    <w:rsid w:val="009404BC"/>
    <w:rsid w:val="00941ED7"/>
    <w:rsid w:val="00953EB2"/>
    <w:rsid w:val="00971C50"/>
    <w:rsid w:val="009840FF"/>
    <w:rsid w:val="009A12EE"/>
    <w:rsid w:val="009E5A3A"/>
    <w:rsid w:val="00A0212B"/>
    <w:rsid w:val="00A0322C"/>
    <w:rsid w:val="00A11527"/>
    <w:rsid w:val="00A1198E"/>
    <w:rsid w:val="00A23A76"/>
    <w:rsid w:val="00A6303A"/>
    <w:rsid w:val="00A643E0"/>
    <w:rsid w:val="00A818B6"/>
    <w:rsid w:val="00A95484"/>
    <w:rsid w:val="00AA21BA"/>
    <w:rsid w:val="00AA7614"/>
    <w:rsid w:val="00AB5CE1"/>
    <w:rsid w:val="00AD64CC"/>
    <w:rsid w:val="00AE6EC7"/>
    <w:rsid w:val="00B00088"/>
    <w:rsid w:val="00B2318B"/>
    <w:rsid w:val="00B25801"/>
    <w:rsid w:val="00B35DA1"/>
    <w:rsid w:val="00B625BF"/>
    <w:rsid w:val="00B66E47"/>
    <w:rsid w:val="00B921A2"/>
    <w:rsid w:val="00BA5550"/>
    <w:rsid w:val="00BB5D86"/>
    <w:rsid w:val="00BC15C8"/>
    <w:rsid w:val="00BD00EC"/>
    <w:rsid w:val="00BD0815"/>
    <w:rsid w:val="00C01E74"/>
    <w:rsid w:val="00C04412"/>
    <w:rsid w:val="00C2066F"/>
    <w:rsid w:val="00C220A2"/>
    <w:rsid w:val="00C325C7"/>
    <w:rsid w:val="00C332F5"/>
    <w:rsid w:val="00C43605"/>
    <w:rsid w:val="00C52798"/>
    <w:rsid w:val="00C7397D"/>
    <w:rsid w:val="00CC6DC4"/>
    <w:rsid w:val="00D0203A"/>
    <w:rsid w:val="00D03D30"/>
    <w:rsid w:val="00D06056"/>
    <w:rsid w:val="00D3438E"/>
    <w:rsid w:val="00D53F66"/>
    <w:rsid w:val="00D83780"/>
    <w:rsid w:val="00DC25A7"/>
    <w:rsid w:val="00DD35FC"/>
    <w:rsid w:val="00DF011D"/>
    <w:rsid w:val="00E03D30"/>
    <w:rsid w:val="00E129AC"/>
    <w:rsid w:val="00E2385C"/>
    <w:rsid w:val="00E332E7"/>
    <w:rsid w:val="00E43430"/>
    <w:rsid w:val="00E50E8F"/>
    <w:rsid w:val="00E63A8D"/>
    <w:rsid w:val="00E705C2"/>
    <w:rsid w:val="00E71B88"/>
    <w:rsid w:val="00EC39C3"/>
    <w:rsid w:val="00ED2DFC"/>
    <w:rsid w:val="00ED439F"/>
    <w:rsid w:val="00EE6FFC"/>
    <w:rsid w:val="00EF394D"/>
    <w:rsid w:val="00F01D14"/>
    <w:rsid w:val="00F035F1"/>
    <w:rsid w:val="00F178D0"/>
    <w:rsid w:val="00F20AED"/>
    <w:rsid w:val="00F36D22"/>
    <w:rsid w:val="00F42D66"/>
    <w:rsid w:val="00F54001"/>
    <w:rsid w:val="00F779DA"/>
    <w:rsid w:val="00FA190C"/>
    <w:rsid w:val="00FA5FDC"/>
    <w:rsid w:val="00FB271E"/>
    <w:rsid w:val="00FB6098"/>
    <w:rsid w:val="00FC077C"/>
    <w:rsid w:val="00FC1223"/>
    <w:rsid w:val="00FC1F3A"/>
    <w:rsid w:val="00FD49FC"/>
    <w:rsid w:val="00FD51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609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6098"/>
    <w:pPr>
      <w:ind w:left="720"/>
      <w:contextualSpacing/>
    </w:pPr>
  </w:style>
  <w:style w:type="paragraph" w:styleId="Header">
    <w:name w:val="header"/>
    <w:basedOn w:val="Normal"/>
    <w:link w:val="HeaderChar"/>
    <w:uiPriority w:val="99"/>
    <w:unhideWhenUsed/>
    <w:rsid w:val="0080215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2155"/>
  </w:style>
  <w:style w:type="paragraph" w:styleId="Footer">
    <w:name w:val="footer"/>
    <w:basedOn w:val="Normal"/>
    <w:link w:val="FooterChar"/>
    <w:uiPriority w:val="99"/>
    <w:unhideWhenUsed/>
    <w:rsid w:val="00802155"/>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215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609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6098"/>
    <w:pPr>
      <w:ind w:left="720"/>
      <w:contextualSpacing/>
    </w:pPr>
  </w:style>
  <w:style w:type="paragraph" w:styleId="Header">
    <w:name w:val="header"/>
    <w:basedOn w:val="Normal"/>
    <w:link w:val="HeaderChar"/>
    <w:uiPriority w:val="99"/>
    <w:unhideWhenUsed/>
    <w:rsid w:val="0080215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2155"/>
  </w:style>
  <w:style w:type="paragraph" w:styleId="Footer">
    <w:name w:val="footer"/>
    <w:basedOn w:val="Normal"/>
    <w:link w:val="FooterChar"/>
    <w:uiPriority w:val="99"/>
    <w:unhideWhenUsed/>
    <w:rsid w:val="00802155"/>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21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0394062">
      <w:bodyDiv w:val="1"/>
      <w:marLeft w:val="0"/>
      <w:marRight w:val="0"/>
      <w:marTop w:val="0"/>
      <w:marBottom w:val="0"/>
      <w:divBdr>
        <w:top w:val="none" w:sz="0" w:space="0" w:color="auto"/>
        <w:left w:val="none" w:sz="0" w:space="0" w:color="auto"/>
        <w:bottom w:val="none" w:sz="0" w:space="0" w:color="auto"/>
        <w:right w:val="none" w:sz="0" w:space="0" w:color="auto"/>
      </w:divBdr>
    </w:div>
    <w:div w:id="2068528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4013</Words>
  <Characters>22877</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Chaz Isaacs</dc:creator>
  <cp:lastModifiedBy>Chaz Isaacs</cp:lastModifiedBy>
  <cp:revision>3</cp:revision>
  <dcterms:created xsi:type="dcterms:W3CDTF">2011-07-29T15:07:00Z</dcterms:created>
  <dcterms:modified xsi:type="dcterms:W3CDTF">2011-09-07T04:48:00Z</dcterms:modified>
</cp:coreProperties>
</file>